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CD6A8" w14:textId="030D5C58" w:rsidR="00711342" w:rsidRPr="00B21F2C" w:rsidRDefault="00711342" w:rsidP="00711342">
      <w:pPr>
        <w:jc w:val="center"/>
        <w:rPr>
          <w:rFonts w:cstheme="minorHAnsi"/>
          <w:b/>
          <w:sz w:val="28"/>
          <w:szCs w:val="24"/>
        </w:rPr>
      </w:pPr>
      <w:bookmarkStart w:id="0" w:name="_GoBack"/>
      <w:bookmarkEnd w:id="0"/>
      <w:r>
        <w:rPr>
          <w:rFonts w:cs="Segoe UI"/>
          <w:b/>
          <w:szCs w:val="20"/>
        </w:rPr>
        <w:t>VERSION CONTROL COVERSHEET</w:t>
      </w:r>
    </w:p>
    <w:p w14:paraId="07262E93" w14:textId="7F92E6CA" w:rsidR="00711342" w:rsidRPr="00C76AB0" w:rsidRDefault="00711342" w:rsidP="00711342">
      <w:pPr>
        <w:jc w:val="center"/>
        <w:rPr>
          <w:rFonts w:cs="Segoe UI"/>
          <w:b/>
          <w:szCs w:val="20"/>
        </w:rPr>
      </w:pPr>
      <w:r w:rsidRPr="00820E41">
        <w:rPr>
          <w:rFonts w:cs="Segoe UI"/>
          <w:b/>
          <w:szCs w:val="20"/>
        </w:rPr>
        <w:t>TR-ANZGOG Recommended Optimal Biospecimen Collection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90"/>
      </w:tblGrid>
      <w:tr w:rsidR="00711342" w:rsidRPr="00C76AB0" w14:paraId="57453A40" w14:textId="77777777" w:rsidTr="00FA5FCD">
        <w:trPr>
          <w:jc w:val="center"/>
        </w:trPr>
        <w:tc>
          <w:tcPr>
            <w:tcW w:w="2830" w:type="dxa"/>
            <w:shd w:val="clear" w:color="auto" w:fill="auto"/>
            <w:vAlign w:val="center"/>
          </w:tcPr>
          <w:p w14:paraId="5ED56E54" w14:textId="77777777" w:rsidR="00711342" w:rsidRPr="00C76AB0" w:rsidRDefault="00711342" w:rsidP="00FA5FCD">
            <w:pPr>
              <w:rPr>
                <w:rFonts w:cs="Segoe UI"/>
                <w:b/>
                <w:szCs w:val="20"/>
              </w:rPr>
            </w:pPr>
            <w:r w:rsidRPr="00C76AB0">
              <w:rPr>
                <w:rFonts w:cs="Segoe UI"/>
                <w:b/>
                <w:szCs w:val="20"/>
              </w:rPr>
              <w:t>APPLIES TO</w:t>
            </w:r>
            <w:r>
              <w:rPr>
                <w:rFonts w:cs="Segoe UI"/>
                <w:b/>
                <w:szCs w:val="20"/>
              </w:rPr>
              <w:t xml:space="preserve"> SECTION</w:t>
            </w:r>
            <w:r w:rsidRPr="00C76AB0">
              <w:rPr>
                <w:rFonts w:cs="Segoe UI"/>
                <w:b/>
                <w:szCs w:val="20"/>
              </w:rPr>
              <w:t>:</w:t>
            </w:r>
          </w:p>
        </w:tc>
        <w:tc>
          <w:tcPr>
            <w:tcW w:w="5890" w:type="dxa"/>
            <w:shd w:val="clear" w:color="auto" w:fill="auto"/>
            <w:vAlign w:val="center"/>
          </w:tcPr>
          <w:p w14:paraId="3CF67DCF" w14:textId="77777777" w:rsidR="00711342" w:rsidRPr="00C76AB0" w:rsidRDefault="00711342" w:rsidP="00711342">
            <w:pPr>
              <w:numPr>
                <w:ilvl w:val="0"/>
                <w:numId w:val="15"/>
              </w:numPr>
              <w:spacing w:after="200" w:line="276" w:lineRule="auto"/>
              <w:rPr>
                <w:rFonts w:cs="Segoe UI"/>
                <w:szCs w:val="20"/>
              </w:rPr>
            </w:pPr>
            <w:r>
              <w:rPr>
                <w:rFonts w:cs="Segoe UI"/>
                <w:szCs w:val="20"/>
              </w:rPr>
              <w:t>All</w:t>
            </w:r>
          </w:p>
        </w:tc>
      </w:tr>
      <w:tr w:rsidR="00711342" w:rsidRPr="00C76AB0" w14:paraId="2433CE7D" w14:textId="77777777" w:rsidTr="00FA5FCD">
        <w:trPr>
          <w:jc w:val="center"/>
        </w:trPr>
        <w:tc>
          <w:tcPr>
            <w:tcW w:w="2830" w:type="dxa"/>
            <w:shd w:val="clear" w:color="auto" w:fill="auto"/>
            <w:vAlign w:val="center"/>
          </w:tcPr>
          <w:p w14:paraId="15D8911A" w14:textId="77777777" w:rsidR="00711342" w:rsidRPr="00C76AB0" w:rsidRDefault="00711342" w:rsidP="00FA5FCD">
            <w:pPr>
              <w:rPr>
                <w:rFonts w:cs="Segoe UI"/>
                <w:b/>
                <w:szCs w:val="20"/>
              </w:rPr>
            </w:pPr>
            <w:r>
              <w:rPr>
                <w:rFonts w:cs="Segoe UI"/>
                <w:b/>
                <w:szCs w:val="20"/>
              </w:rPr>
              <w:t>DOCUMENT NUMBER:</w:t>
            </w:r>
          </w:p>
        </w:tc>
        <w:tc>
          <w:tcPr>
            <w:tcW w:w="5890" w:type="dxa"/>
            <w:shd w:val="clear" w:color="auto" w:fill="auto"/>
            <w:vAlign w:val="center"/>
          </w:tcPr>
          <w:p w14:paraId="304362D8" w14:textId="77777777" w:rsidR="00711342" w:rsidRPr="00C76AB0" w:rsidRDefault="00711342" w:rsidP="00711342">
            <w:pPr>
              <w:numPr>
                <w:ilvl w:val="0"/>
                <w:numId w:val="15"/>
              </w:numPr>
              <w:spacing w:after="200" w:line="276" w:lineRule="auto"/>
              <w:rPr>
                <w:rFonts w:cs="Segoe UI"/>
                <w:szCs w:val="20"/>
              </w:rPr>
            </w:pPr>
            <w:r>
              <w:rPr>
                <w:rFonts w:cs="Segoe UI"/>
                <w:szCs w:val="20"/>
              </w:rPr>
              <w:t>6.1.1</w:t>
            </w:r>
          </w:p>
        </w:tc>
      </w:tr>
      <w:tr w:rsidR="00711342" w:rsidRPr="00C76AB0" w14:paraId="6A6714F3" w14:textId="77777777" w:rsidTr="00FA5FCD">
        <w:trPr>
          <w:jc w:val="center"/>
        </w:trPr>
        <w:tc>
          <w:tcPr>
            <w:tcW w:w="2830" w:type="dxa"/>
            <w:shd w:val="clear" w:color="auto" w:fill="auto"/>
            <w:vAlign w:val="center"/>
          </w:tcPr>
          <w:p w14:paraId="728558F7" w14:textId="77777777" w:rsidR="00711342" w:rsidRPr="00C76AB0" w:rsidRDefault="00711342" w:rsidP="00FA5FCD">
            <w:pPr>
              <w:rPr>
                <w:rFonts w:cs="Segoe UI"/>
                <w:b/>
                <w:szCs w:val="20"/>
              </w:rPr>
            </w:pPr>
            <w:r w:rsidRPr="00C76AB0">
              <w:rPr>
                <w:rFonts w:cs="Segoe UI"/>
                <w:b/>
                <w:szCs w:val="20"/>
              </w:rPr>
              <w:t>PURPOSE:</w:t>
            </w:r>
          </w:p>
        </w:tc>
        <w:tc>
          <w:tcPr>
            <w:tcW w:w="5890" w:type="dxa"/>
            <w:shd w:val="clear" w:color="auto" w:fill="auto"/>
            <w:vAlign w:val="center"/>
          </w:tcPr>
          <w:p w14:paraId="00B2E77B" w14:textId="77777777" w:rsidR="00711342" w:rsidRPr="00C76AB0" w:rsidRDefault="00711342" w:rsidP="00711342">
            <w:pPr>
              <w:numPr>
                <w:ilvl w:val="0"/>
                <w:numId w:val="14"/>
              </w:numPr>
              <w:spacing w:after="200" w:line="276" w:lineRule="auto"/>
              <w:rPr>
                <w:rFonts w:cs="Segoe UI"/>
                <w:szCs w:val="20"/>
              </w:rPr>
            </w:pPr>
            <w:r>
              <w:rPr>
                <w:rFonts w:cs="Segoe UI"/>
                <w:szCs w:val="20"/>
              </w:rPr>
              <w:t>To provide guidance on the minimal biospecimen requirements needed to facilitate translational research beyond the trial’s completion</w:t>
            </w:r>
          </w:p>
        </w:tc>
      </w:tr>
      <w:tr w:rsidR="00711342" w:rsidRPr="00C76AB0" w14:paraId="09FBE6B5" w14:textId="77777777" w:rsidTr="00FA5FCD">
        <w:trPr>
          <w:jc w:val="center"/>
        </w:trPr>
        <w:tc>
          <w:tcPr>
            <w:tcW w:w="2830" w:type="dxa"/>
            <w:shd w:val="clear" w:color="auto" w:fill="auto"/>
            <w:vAlign w:val="center"/>
          </w:tcPr>
          <w:p w14:paraId="0F9BA21F" w14:textId="77777777" w:rsidR="00711342" w:rsidRPr="00C76AB0" w:rsidRDefault="00711342" w:rsidP="00FA5FCD">
            <w:pPr>
              <w:rPr>
                <w:rFonts w:cs="Segoe UI"/>
                <w:b/>
                <w:szCs w:val="20"/>
              </w:rPr>
            </w:pPr>
            <w:r>
              <w:rPr>
                <w:rFonts w:cs="Segoe UI"/>
                <w:b/>
                <w:szCs w:val="20"/>
              </w:rPr>
              <w:t>CREATED BY:</w:t>
            </w:r>
          </w:p>
        </w:tc>
        <w:tc>
          <w:tcPr>
            <w:tcW w:w="5890" w:type="dxa"/>
            <w:shd w:val="clear" w:color="auto" w:fill="auto"/>
            <w:vAlign w:val="center"/>
          </w:tcPr>
          <w:p w14:paraId="60A73728" w14:textId="77777777" w:rsidR="00711342" w:rsidRPr="00C76AB0" w:rsidRDefault="00711342" w:rsidP="00711342">
            <w:pPr>
              <w:numPr>
                <w:ilvl w:val="0"/>
                <w:numId w:val="14"/>
              </w:numPr>
              <w:spacing w:after="200" w:line="276" w:lineRule="auto"/>
              <w:rPr>
                <w:rFonts w:cs="Segoe UI"/>
                <w:szCs w:val="20"/>
              </w:rPr>
            </w:pPr>
            <w:r>
              <w:rPr>
                <w:rFonts w:cs="Segoe UI"/>
                <w:szCs w:val="20"/>
              </w:rPr>
              <w:t>Claire Davies/ Anna De Fazio</w:t>
            </w:r>
          </w:p>
        </w:tc>
      </w:tr>
      <w:tr w:rsidR="00711342" w:rsidRPr="00C76AB0" w14:paraId="437068C5" w14:textId="77777777" w:rsidTr="00FA5FCD">
        <w:trPr>
          <w:jc w:val="center"/>
        </w:trPr>
        <w:tc>
          <w:tcPr>
            <w:tcW w:w="2830" w:type="dxa"/>
            <w:shd w:val="clear" w:color="auto" w:fill="auto"/>
            <w:vAlign w:val="center"/>
          </w:tcPr>
          <w:p w14:paraId="1FCE53D2" w14:textId="77777777" w:rsidR="00711342" w:rsidRDefault="00711342" w:rsidP="00FA5FCD">
            <w:pPr>
              <w:rPr>
                <w:rFonts w:cs="Segoe UI"/>
                <w:b/>
                <w:szCs w:val="20"/>
              </w:rPr>
            </w:pPr>
            <w:r>
              <w:rPr>
                <w:rFonts w:cs="Segoe UI"/>
                <w:b/>
                <w:szCs w:val="20"/>
              </w:rPr>
              <w:t>CREATION DATE:</w:t>
            </w:r>
          </w:p>
        </w:tc>
        <w:tc>
          <w:tcPr>
            <w:tcW w:w="5890" w:type="dxa"/>
            <w:shd w:val="clear" w:color="auto" w:fill="auto"/>
            <w:vAlign w:val="center"/>
          </w:tcPr>
          <w:p w14:paraId="49725D41" w14:textId="77777777" w:rsidR="00711342" w:rsidRPr="00C76AB0" w:rsidRDefault="00711342" w:rsidP="00711342">
            <w:pPr>
              <w:numPr>
                <w:ilvl w:val="0"/>
                <w:numId w:val="14"/>
              </w:numPr>
              <w:spacing w:after="200" w:line="276" w:lineRule="auto"/>
              <w:rPr>
                <w:rFonts w:cs="Segoe UI"/>
                <w:szCs w:val="20"/>
              </w:rPr>
            </w:pPr>
            <w:r>
              <w:rPr>
                <w:rFonts w:cs="Segoe UI"/>
                <w:szCs w:val="20"/>
              </w:rPr>
              <w:t>31 Jan 2019</w:t>
            </w:r>
          </w:p>
        </w:tc>
      </w:tr>
      <w:tr w:rsidR="00711342" w:rsidRPr="00C76AB0" w14:paraId="506C845F" w14:textId="77777777" w:rsidTr="00FA5FCD">
        <w:trPr>
          <w:jc w:val="center"/>
        </w:trPr>
        <w:tc>
          <w:tcPr>
            <w:tcW w:w="2830" w:type="dxa"/>
            <w:shd w:val="clear" w:color="auto" w:fill="auto"/>
            <w:vAlign w:val="center"/>
          </w:tcPr>
          <w:p w14:paraId="4A702575" w14:textId="77777777" w:rsidR="00711342" w:rsidRDefault="00711342" w:rsidP="00FA5FCD">
            <w:pPr>
              <w:rPr>
                <w:rFonts w:cs="Segoe UI"/>
                <w:b/>
                <w:szCs w:val="20"/>
              </w:rPr>
            </w:pPr>
            <w:r>
              <w:rPr>
                <w:rFonts w:cs="Segoe UI"/>
                <w:b/>
                <w:szCs w:val="20"/>
              </w:rPr>
              <w:t>ADVISORS CONSULTED:</w:t>
            </w:r>
          </w:p>
        </w:tc>
        <w:tc>
          <w:tcPr>
            <w:tcW w:w="5890" w:type="dxa"/>
            <w:shd w:val="clear" w:color="auto" w:fill="auto"/>
            <w:vAlign w:val="center"/>
          </w:tcPr>
          <w:p w14:paraId="4B59D5D1" w14:textId="119DEE2B" w:rsidR="00711342" w:rsidRPr="00C76AB0" w:rsidRDefault="00711342" w:rsidP="00711342">
            <w:pPr>
              <w:numPr>
                <w:ilvl w:val="0"/>
                <w:numId w:val="14"/>
              </w:numPr>
              <w:spacing w:after="200" w:line="276" w:lineRule="auto"/>
              <w:rPr>
                <w:rFonts w:cs="Segoe UI"/>
                <w:szCs w:val="20"/>
              </w:rPr>
            </w:pPr>
            <w:r>
              <w:rPr>
                <w:rFonts w:cs="Segoe UI"/>
                <w:szCs w:val="20"/>
              </w:rPr>
              <w:t>Steering Committee, Consensus Workshop (dedicated specimen collection group – scientists, pathologists, biobankers, consumers, coordinator), Board</w:t>
            </w:r>
            <w:r w:rsidR="00A50618">
              <w:rPr>
                <w:rFonts w:cs="Segoe UI"/>
                <w:szCs w:val="20"/>
              </w:rPr>
              <w:t>. Compared with sector examples for alignment (INOVATe, AOCSII, Mater Research, WIMR Gynbank, Cancer2015, COB Lifehouse biobank)</w:t>
            </w:r>
          </w:p>
        </w:tc>
      </w:tr>
      <w:tr w:rsidR="00711342" w:rsidRPr="00C76AB0" w14:paraId="7A6E04CA" w14:textId="77777777" w:rsidTr="00FA5FCD">
        <w:trPr>
          <w:jc w:val="center"/>
        </w:trPr>
        <w:tc>
          <w:tcPr>
            <w:tcW w:w="2830" w:type="dxa"/>
            <w:shd w:val="clear" w:color="auto" w:fill="auto"/>
            <w:vAlign w:val="center"/>
          </w:tcPr>
          <w:p w14:paraId="6E1F1B5B" w14:textId="77777777" w:rsidR="00711342" w:rsidRPr="00C76AB0" w:rsidRDefault="00711342" w:rsidP="00FA5FCD">
            <w:pPr>
              <w:rPr>
                <w:rFonts w:cs="Segoe UI"/>
                <w:b/>
                <w:szCs w:val="20"/>
              </w:rPr>
            </w:pPr>
            <w:r>
              <w:rPr>
                <w:rFonts w:cs="Segoe UI"/>
                <w:b/>
                <w:szCs w:val="20"/>
              </w:rPr>
              <w:t>REVIEWED BY:</w:t>
            </w:r>
          </w:p>
        </w:tc>
        <w:tc>
          <w:tcPr>
            <w:tcW w:w="5890" w:type="dxa"/>
            <w:shd w:val="clear" w:color="auto" w:fill="auto"/>
            <w:vAlign w:val="center"/>
          </w:tcPr>
          <w:p w14:paraId="3A697303" w14:textId="77777777" w:rsidR="00711342" w:rsidRPr="00C76AB0" w:rsidRDefault="00711342" w:rsidP="00711342">
            <w:pPr>
              <w:numPr>
                <w:ilvl w:val="0"/>
                <w:numId w:val="14"/>
              </w:numPr>
              <w:spacing w:after="200" w:line="276" w:lineRule="auto"/>
              <w:rPr>
                <w:rFonts w:cs="Segoe UI"/>
                <w:szCs w:val="20"/>
              </w:rPr>
            </w:pPr>
            <w:r>
              <w:rPr>
                <w:rFonts w:cs="Segoe UI"/>
                <w:szCs w:val="20"/>
              </w:rPr>
              <w:t>Steering Committee</w:t>
            </w:r>
          </w:p>
        </w:tc>
      </w:tr>
      <w:tr w:rsidR="00711342" w:rsidRPr="00C76AB0" w14:paraId="34D8464A" w14:textId="77777777" w:rsidTr="00FA5FCD">
        <w:trPr>
          <w:jc w:val="center"/>
        </w:trPr>
        <w:tc>
          <w:tcPr>
            <w:tcW w:w="2830" w:type="dxa"/>
            <w:shd w:val="clear" w:color="auto" w:fill="auto"/>
            <w:vAlign w:val="center"/>
          </w:tcPr>
          <w:p w14:paraId="69BABD41" w14:textId="77777777" w:rsidR="00711342" w:rsidRDefault="00711342" w:rsidP="00FA5FCD">
            <w:pPr>
              <w:rPr>
                <w:rFonts w:cs="Segoe UI"/>
                <w:b/>
                <w:szCs w:val="20"/>
              </w:rPr>
            </w:pPr>
            <w:r>
              <w:rPr>
                <w:rFonts w:cs="Segoe UI"/>
                <w:b/>
                <w:szCs w:val="20"/>
              </w:rPr>
              <w:t>REVIEW DATE:</w:t>
            </w:r>
          </w:p>
        </w:tc>
        <w:tc>
          <w:tcPr>
            <w:tcW w:w="5890" w:type="dxa"/>
            <w:shd w:val="clear" w:color="auto" w:fill="auto"/>
            <w:vAlign w:val="center"/>
          </w:tcPr>
          <w:p w14:paraId="3BFB5AD4" w14:textId="77777777" w:rsidR="00711342" w:rsidRPr="00C76AB0" w:rsidRDefault="00711342" w:rsidP="00711342">
            <w:pPr>
              <w:numPr>
                <w:ilvl w:val="0"/>
                <w:numId w:val="14"/>
              </w:numPr>
              <w:spacing w:after="200" w:line="276" w:lineRule="auto"/>
              <w:rPr>
                <w:rFonts w:cs="Segoe UI"/>
                <w:szCs w:val="20"/>
              </w:rPr>
            </w:pPr>
            <w:r>
              <w:rPr>
                <w:rFonts w:cs="Segoe UI"/>
                <w:szCs w:val="20"/>
              </w:rPr>
              <w:t>4</w:t>
            </w:r>
            <w:r w:rsidRPr="000A6660">
              <w:rPr>
                <w:rFonts w:cs="Segoe UI"/>
                <w:szCs w:val="20"/>
                <w:vertAlign w:val="superscript"/>
              </w:rPr>
              <w:t>th</w:t>
            </w:r>
            <w:r>
              <w:rPr>
                <w:rFonts w:cs="Segoe UI"/>
                <w:szCs w:val="20"/>
              </w:rPr>
              <w:t xml:space="preserve"> Feb 2019 (S/C), Mar 2019 ASM (S/C working group), July 2019 (Board), 11 Nov 2019 (CW), 17 Sept 2020 (S/C)</w:t>
            </w:r>
          </w:p>
        </w:tc>
      </w:tr>
      <w:tr w:rsidR="00711342" w:rsidRPr="00C76AB0" w14:paraId="750ABB49" w14:textId="77777777" w:rsidTr="00FA5FCD">
        <w:trPr>
          <w:jc w:val="center"/>
        </w:trPr>
        <w:tc>
          <w:tcPr>
            <w:tcW w:w="2830" w:type="dxa"/>
            <w:shd w:val="clear" w:color="auto" w:fill="auto"/>
            <w:vAlign w:val="center"/>
          </w:tcPr>
          <w:p w14:paraId="680D6577" w14:textId="77777777" w:rsidR="00711342" w:rsidRPr="00C76AB0" w:rsidRDefault="00711342" w:rsidP="00FA5FCD">
            <w:pPr>
              <w:rPr>
                <w:rFonts w:cs="Segoe UI"/>
                <w:b/>
                <w:szCs w:val="20"/>
              </w:rPr>
            </w:pPr>
            <w:r>
              <w:rPr>
                <w:rFonts w:cs="Segoe UI"/>
                <w:b/>
                <w:szCs w:val="20"/>
              </w:rPr>
              <w:t>LEGAL REVIEW REQUIRED?</w:t>
            </w:r>
          </w:p>
        </w:tc>
        <w:tc>
          <w:tcPr>
            <w:tcW w:w="5890" w:type="dxa"/>
            <w:shd w:val="clear" w:color="auto" w:fill="auto"/>
            <w:vAlign w:val="center"/>
          </w:tcPr>
          <w:p w14:paraId="64FA653D" w14:textId="77777777" w:rsidR="00711342" w:rsidRPr="00C76AB0" w:rsidRDefault="00711342" w:rsidP="00711342">
            <w:pPr>
              <w:numPr>
                <w:ilvl w:val="0"/>
                <w:numId w:val="14"/>
              </w:numPr>
              <w:spacing w:after="200" w:line="276" w:lineRule="auto"/>
              <w:rPr>
                <w:rFonts w:cs="Segoe UI"/>
                <w:szCs w:val="20"/>
              </w:rPr>
            </w:pPr>
            <w:r>
              <w:rPr>
                <w:rFonts w:cs="Segoe UI"/>
                <w:szCs w:val="20"/>
              </w:rPr>
              <w:t>No</w:t>
            </w:r>
          </w:p>
        </w:tc>
      </w:tr>
      <w:tr w:rsidR="00711342" w:rsidRPr="00C76AB0" w14:paraId="5203C798" w14:textId="77777777" w:rsidTr="00FA5FCD">
        <w:trPr>
          <w:jc w:val="center"/>
        </w:trPr>
        <w:tc>
          <w:tcPr>
            <w:tcW w:w="2830" w:type="dxa"/>
            <w:shd w:val="clear" w:color="auto" w:fill="auto"/>
            <w:vAlign w:val="center"/>
          </w:tcPr>
          <w:p w14:paraId="37BFCF77" w14:textId="77777777" w:rsidR="00711342" w:rsidRPr="00C76AB0" w:rsidRDefault="00711342" w:rsidP="00FA5FCD">
            <w:pPr>
              <w:rPr>
                <w:rFonts w:cs="Segoe UI"/>
                <w:b/>
                <w:szCs w:val="20"/>
              </w:rPr>
            </w:pPr>
            <w:r>
              <w:rPr>
                <w:rFonts w:cs="Segoe UI"/>
                <w:b/>
                <w:szCs w:val="20"/>
              </w:rPr>
              <w:t>IF SPECIALIST REVIEW STILL REQUIRED, WHOM?</w:t>
            </w:r>
          </w:p>
        </w:tc>
        <w:tc>
          <w:tcPr>
            <w:tcW w:w="5890" w:type="dxa"/>
            <w:shd w:val="clear" w:color="auto" w:fill="auto"/>
            <w:vAlign w:val="center"/>
          </w:tcPr>
          <w:p w14:paraId="5486CA17" w14:textId="77777777" w:rsidR="00711342" w:rsidRPr="00C76AB0" w:rsidRDefault="00711342" w:rsidP="00711342">
            <w:pPr>
              <w:numPr>
                <w:ilvl w:val="0"/>
                <w:numId w:val="14"/>
              </w:numPr>
              <w:spacing w:after="200" w:line="276" w:lineRule="auto"/>
              <w:rPr>
                <w:rFonts w:cs="Segoe UI"/>
                <w:szCs w:val="20"/>
              </w:rPr>
            </w:pPr>
            <w:r>
              <w:rPr>
                <w:rFonts w:cs="Segoe UI"/>
                <w:szCs w:val="20"/>
              </w:rPr>
              <w:t>Final approval by S/C required, including process of deciding where dedicated TR-ANZGOG specimens need to be collected as trial requirements do not meet recommended minimal collection</w:t>
            </w:r>
          </w:p>
        </w:tc>
      </w:tr>
      <w:tr w:rsidR="00711342" w:rsidRPr="00C76AB0" w14:paraId="199AE751" w14:textId="77777777" w:rsidTr="00FA5FCD">
        <w:trPr>
          <w:jc w:val="center"/>
        </w:trPr>
        <w:tc>
          <w:tcPr>
            <w:tcW w:w="2830" w:type="dxa"/>
            <w:shd w:val="clear" w:color="auto" w:fill="auto"/>
            <w:vAlign w:val="center"/>
          </w:tcPr>
          <w:p w14:paraId="760CF9FE" w14:textId="77777777" w:rsidR="00711342" w:rsidRPr="00C76AB0" w:rsidRDefault="00711342" w:rsidP="00FA5FCD">
            <w:pPr>
              <w:rPr>
                <w:rFonts w:cs="Segoe UI"/>
                <w:b/>
                <w:szCs w:val="20"/>
              </w:rPr>
            </w:pPr>
            <w:r w:rsidRPr="00C76AB0">
              <w:rPr>
                <w:rFonts w:cs="Segoe UI"/>
                <w:b/>
                <w:szCs w:val="20"/>
              </w:rPr>
              <w:t>VALID PERIOD:</w:t>
            </w:r>
          </w:p>
        </w:tc>
        <w:tc>
          <w:tcPr>
            <w:tcW w:w="5890" w:type="dxa"/>
            <w:shd w:val="clear" w:color="auto" w:fill="auto"/>
            <w:vAlign w:val="center"/>
          </w:tcPr>
          <w:p w14:paraId="6ADF7510" w14:textId="77777777" w:rsidR="00711342" w:rsidRPr="00C76AB0" w:rsidRDefault="00711342" w:rsidP="00711342">
            <w:pPr>
              <w:numPr>
                <w:ilvl w:val="0"/>
                <w:numId w:val="14"/>
              </w:numPr>
              <w:spacing w:after="200" w:line="276" w:lineRule="auto"/>
              <w:rPr>
                <w:rFonts w:cs="Segoe UI"/>
                <w:szCs w:val="20"/>
              </w:rPr>
            </w:pPr>
            <w:r>
              <w:rPr>
                <w:rFonts w:cs="Segoe UI"/>
                <w:szCs w:val="20"/>
              </w:rPr>
              <w:t>Sept 2020-Sep 2022</w:t>
            </w:r>
          </w:p>
        </w:tc>
      </w:tr>
    </w:tbl>
    <w:p w14:paraId="66A8D5AE" w14:textId="77777777" w:rsidR="00711342" w:rsidRPr="00C76AB0" w:rsidRDefault="00711342" w:rsidP="00711342">
      <w:pPr>
        <w:spacing w:after="0" w:line="240" w:lineRule="auto"/>
        <w:rPr>
          <w:rFonts w:eastAsia="MS Mincho" w:cs="Segoe UI"/>
          <w:b/>
          <w:szCs w:val="20"/>
          <w:lang w:eastAsia="ja-JP"/>
        </w:rPr>
      </w:pPr>
    </w:p>
    <w:p w14:paraId="761A6A72" w14:textId="77777777" w:rsidR="00711342" w:rsidRPr="002A086C" w:rsidRDefault="00711342" w:rsidP="00711342">
      <w:pPr>
        <w:spacing w:after="0" w:line="240" w:lineRule="auto"/>
        <w:ind w:left="426"/>
        <w:rPr>
          <w:rFonts w:eastAsia="MS Mincho" w:cs="Segoe UI"/>
          <w:b/>
          <w:i/>
          <w:szCs w:val="20"/>
          <w:lang w:eastAsia="ja-JP"/>
        </w:rPr>
      </w:pPr>
      <w:r w:rsidRPr="002A086C">
        <w:rPr>
          <w:rFonts w:eastAsia="MS Mincho" w:cs="Segoe UI"/>
          <w:b/>
          <w:szCs w:val="20"/>
          <w:lang w:eastAsia="ja-JP"/>
        </w:rPr>
        <w:t>Version Control:</w:t>
      </w:r>
    </w:p>
    <w:p w14:paraId="6E728961" w14:textId="77777777" w:rsidR="00711342" w:rsidRPr="002A086C" w:rsidRDefault="00711342" w:rsidP="00711342">
      <w:pPr>
        <w:spacing w:after="0" w:line="240" w:lineRule="auto"/>
        <w:rPr>
          <w:rFonts w:eastAsia="MS Mincho" w:cs="Segoe UI"/>
          <w:b/>
          <w:szCs w:val="20"/>
          <w:lang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406"/>
        <w:gridCol w:w="4338"/>
        <w:gridCol w:w="1691"/>
      </w:tblGrid>
      <w:tr w:rsidR="00711342" w:rsidRPr="002A086C" w14:paraId="3E35D9A0" w14:textId="77777777" w:rsidTr="00FA5FCD">
        <w:tc>
          <w:tcPr>
            <w:tcW w:w="1120" w:type="dxa"/>
          </w:tcPr>
          <w:p w14:paraId="3B0D32B8"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Version</w:t>
            </w:r>
          </w:p>
        </w:tc>
        <w:tc>
          <w:tcPr>
            <w:tcW w:w="1460" w:type="dxa"/>
          </w:tcPr>
          <w:p w14:paraId="045F86A7" w14:textId="77777777" w:rsidR="00711342" w:rsidRPr="002A086C" w:rsidRDefault="00711342" w:rsidP="00FA5FCD">
            <w:pPr>
              <w:spacing w:before="20" w:after="20" w:line="240" w:lineRule="auto"/>
              <w:rPr>
                <w:rFonts w:eastAsia="MS Mincho" w:cs="Segoe UI"/>
                <w:b/>
                <w:szCs w:val="20"/>
                <w:lang w:eastAsia="ja-JP"/>
              </w:rPr>
            </w:pPr>
            <w:r>
              <w:rPr>
                <w:rFonts w:eastAsia="MS Mincho" w:cs="Segoe UI"/>
                <w:b/>
                <w:szCs w:val="20"/>
                <w:lang w:eastAsia="ja-JP"/>
              </w:rPr>
              <w:t>Date</w:t>
            </w:r>
          </w:p>
        </w:tc>
        <w:tc>
          <w:tcPr>
            <w:tcW w:w="4717" w:type="dxa"/>
          </w:tcPr>
          <w:p w14:paraId="5FBD64EC"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Reason for Change</w:t>
            </w:r>
          </w:p>
        </w:tc>
        <w:tc>
          <w:tcPr>
            <w:tcW w:w="1797" w:type="dxa"/>
          </w:tcPr>
          <w:p w14:paraId="7FD58AAC"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Date Effective</w:t>
            </w:r>
          </w:p>
        </w:tc>
      </w:tr>
      <w:tr w:rsidR="00711342" w:rsidRPr="002A086C" w14:paraId="18BFA66F" w14:textId="77777777" w:rsidTr="00FA5FCD">
        <w:tc>
          <w:tcPr>
            <w:tcW w:w="1120" w:type="dxa"/>
          </w:tcPr>
          <w:p w14:paraId="32EAB3C1" w14:textId="77777777" w:rsidR="00711342" w:rsidRPr="002A086C" w:rsidRDefault="00711342" w:rsidP="00FA5FCD">
            <w:pPr>
              <w:spacing w:before="20" w:after="20" w:line="240" w:lineRule="auto"/>
              <w:rPr>
                <w:rFonts w:eastAsia="MS Mincho" w:cs="Segoe UI"/>
                <w:szCs w:val="20"/>
                <w:lang w:eastAsia="ja-JP"/>
              </w:rPr>
            </w:pPr>
            <w:r w:rsidRPr="002A086C">
              <w:rPr>
                <w:rFonts w:eastAsia="MS Mincho" w:cs="Segoe UI"/>
                <w:szCs w:val="20"/>
                <w:lang w:eastAsia="ja-JP"/>
              </w:rPr>
              <w:t>1.0</w:t>
            </w:r>
          </w:p>
        </w:tc>
        <w:tc>
          <w:tcPr>
            <w:tcW w:w="1460" w:type="dxa"/>
          </w:tcPr>
          <w:p w14:paraId="70FECAC7"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31 Jan 2019</w:t>
            </w:r>
          </w:p>
        </w:tc>
        <w:tc>
          <w:tcPr>
            <w:tcW w:w="4717" w:type="dxa"/>
          </w:tcPr>
          <w:p w14:paraId="79B6220F" w14:textId="77777777" w:rsidR="00711342" w:rsidRPr="002A086C" w:rsidRDefault="00711342" w:rsidP="00FA5FCD">
            <w:pPr>
              <w:spacing w:before="20" w:after="20" w:line="240" w:lineRule="auto"/>
              <w:rPr>
                <w:rFonts w:eastAsia="MS Mincho" w:cs="Segoe UI"/>
                <w:szCs w:val="20"/>
                <w:lang w:eastAsia="ja-JP"/>
              </w:rPr>
            </w:pPr>
            <w:r w:rsidRPr="002A086C">
              <w:rPr>
                <w:rFonts w:eastAsia="MS Mincho" w:cs="Segoe UI"/>
                <w:szCs w:val="20"/>
                <w:lang w:eastAsia="ja-JP"/>
              </w:rPr>
              <w:t>New</w:t>
            </w:r>
            <w:r>
              <w:rPr>
                <w:rFonts w:eastAsia="MS Mincho" w:cs="Segoe UI"/>
                <w:szCs w:val="20"/>
                <w:lang w:eastAsia="ja-JP"/>
              </w:rPr>
              <w:t>. Provided to S/C for review (including challenges and proposed solutions). F/U survey circulated as requested.  Minimal response. S/C working group met at ASM 2019.</w:t>
            </w:r>
          </w:p>
        </w:tc>
        <w:tc>
          <w:tcPr>
            <w:tcW w:w="1797" w:type="dxa"/>
          </w:tcPr>
          <w:p w14:paraId="5B459DB2"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Draft</w:t>
            </w:r>
          </w:p>
        </w:tc>
      </w:tr>
      <w:tr w:rsidR="00711342" w:rsidRPr="002A086C" w14:paraId="490084CD" w14:textId="77777777" w:rsidTr="00FA5FCD">
        <w:tc>
          <w:tcPr>
            <w:tcW w:w="1120" w:type="dxa"/>
          </w:tcPr>
          <w:p w14:paraId="0B60B1F7"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lastRenderedPageBreak/>
              <w:t>1_draft</w:t>
            </w:r>
          </w:p>
        </w:tc>
        <w:tc>
          <w:tcPr>
            <w:tcW w:w="1460" w:type="dxa"/>
          </w:tcPr>
          <w:p w14:paraId="179808B4"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7 June 2019</w:t>
            </w:r>
          </w:p>
        </w:tc>
        <w:tc>
          <w:tcPr>
            <w:tcW w:w="4717" w:type="dxa"/>
          </w:tcPr>
          <w:p w14:paraId="3E92AF2B"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Format revised. Now includes summary of survey responses.</w:t>
            </w:r>
          </w:p>
        </w:tc>
        <w:tc>
          <w:tcPr>
            <w:tcW w:w="1797" w:type="dxa"/>
          </w:tcPr>
          <w:p w14:paraId="1C56CCEE"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Draft</w:t>
            </w:r>
          </w:p>
        </w:tc>
      </w:tr>
      <w:tr w:rsidR="00711342" w:rsidRPr="002A086C" w14:paraId="1F64FDA1" w14:textId="77777777" w:rsidTr="00FA5FCD">
        <w:tc>
          <w:tcPr>
            <w:tcW w:w="1120" w:type="dxa"/>
          </w:tcPr>
          <w:p w14:paraId="33F38B1C"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1_draft</w:t>
            </w:r>
          </w:p>
        </w:tc>
        <w:tc>
          <w:tcPr>
            <w:tcW w:w="1460" w:type="dxa"/>
          </w:tcPr>
          <w:p w14:paraId="212C7476"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29 Oct 2019</w:t>
            </w:r>
          </w:p>
        </w:tc>
        <w:tc>
          <w:tcPr>
            <w:tcW w:w="4717" w:type="dxa"/>
          </w:tcPr>
          <w:p w14:paraId="417C8AB0"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Clean version provided for Consensus Workshop, including background to recommendations and sector comparisons.</w:t>
            </w:r>
          </w:p>
        </w:tc>
        <w:tc>
          <w:tcPr>
            <w:tcW w:w="1797" w:type="dxa"/>
          </w:tcPr>
          <w:p w14:paraId="61E16823"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Draft</w:t>
            </w:r>
          </w:p>
        </w:tc>
      </w:tr>
      <w:tr w:rsidR="00711342" w:rsidRPr="002A086C" w14:paraId="452BDCEC" w14:textId="77777777" w:rsidTr="00FA5FCD">
        <w:tc>
          <w:tcPr>
            <w:tcW w:w="1120" w:type="dxa"/>
          </w:tcPr>
          <w:p w14:paraId="0062C715"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1_draft</w:t>
            </w:r>
          </w:p>
        </w:tc>
        <w:tc>
          <w:tcPr>
            <w:tcW w:w="1460" w:type="dxa"/>
          </w:tcPr>
          <w:p w14:paraId="687C2FF1"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12 May 2020</w:t>
            </w:r>
          </w:p>
        </w:tc>
        <w:tc>
          <w:tcPr>
            <w:tcW w:w="4717" w:type="dxa"/>
          </w:tcPr>
          <w:p w14:paraId="7F481D0B" w14:textId="77777777" w:rsidR="00711342" w:rsidRDefault="00711342" w:rsidP="00FA5FCD">
            <w:pPr>
              <w:spacing w:before="20" w:after="20" w:line="240" w:lineRule="auto"/>
              <w:rPr>
                <w:rFonts w:eastAsia="MS Mincho" w:cs="Segoe UI"/>
                <w:szCs w:val="20"/>
                <w:lang w:eastAsia="ja-JP"/>
              </w:rPr>
            </w:pPr>
            <w:r>
              <w:rPr>
                <w:rFonts w:eastAsia="MS Mincho" w:cs="Segoe UI"/>
                <w:szCs w:val="20"/>
                <w:lang w:eastAsia="ja-JP"/>
              </w:rPr>
              <w:t xml:space="preserve">Inclusion of Biospecimen Acquisition wording for Protocol (based on OBER template), outlining collection methods. </w:t>
            </w:r>
          </w:p>
          <w:p w14:paraId="0C8F3E30"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Rationale for each sections’ recommendations removed</w:t>
            </w:r>
          </w:p>
        </w:tc>
        <w:tc>
          <w:tcPr>
            <w:tcW w:w="1797" w:type="dxa"/>
          </w:tcPr>
          <w:p w14:paraId="6E516F68" w14:textId="069A4A52"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Draft</w:t>
            </w:r>
          </w:p>
        </w:tc>
      </w:tr>
      <w:tr w:rsidR="00711342" w:rsidRPr="002A086C" w14:paraId="0C5B9FB2" w14:textId="77777777" w:rsidTr="00FA5FCD">
        <w:tc>
          <w:tcPr>
            <w:tcW w:w="1120" w:type="dxa"/>
          </w:tcPr>
          <w:p w14:paraId="3EC71231"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1.2</w:t>
            </w:r>
          </w:p>
        </w:tc>
        <w:tc>
          <w:tcPr>
            <w:tcW w:w="1460" w:type="dxa"/>
          </w:tcPr>
          <w:p w14:paraId="7611AE13" w14:textId="77777777" w:rsidR="00711342" w:rsidRDefault="00711342" w:rsidP="00FA5FCD">
            <w:pPr>
              <w:spacing w:before="20" w:after="20" w:line="240" w:lineRule="auto"/>
              <w:rPr>
                <w:rFonts w:eastAsia="MS Mincho" w:cs="Segoe UI"/>
                <w:szCs w:val="20"/>
                <w:lang w:eastAsia="ja-JP"/>
              </w:rPr>
            </w:pPr>
            <w:r>
              <w:rPr>
                <w:rFonts w:eastAsia="MS Mincho" w:cs="Segoe UI"/>
                <w:szCs w:val="20"/>
                <w:lang w:eastAsia="ja-JP"/>
              </w:rPr>
              <w:t>24 May2020</w:t>
            </w:r>
          </w:p>
        </w:tc>
        <w:tc>
          <w:tcPr>
            <w:tcW w:w="4717" w:type="dxa"/>
          </w:tcPr>
          <w:p w14:paraId="1F500BA9" w14:textId="77777777" w:rsidR="00711342" w:rsidRDefault="00711342" w:rsidP="00FA5FCD">
            <w:pPr>
              <w:spacing w:before="20" w:after="20" w:line="240" w:lineRule="auto"/>
              <w:rPr>
                <w:rFonts w:eastAsia="MS Mincho" w:cs="Segoe UI"/>
                <w:szCs w:val="20"/>
                <w:lang w:eastAsia="ja-JP"/>
              </w:rPr>
            </w:pPr>
            <w:r>
              <w:rPr>
                <w:rFonts w:eastAsia="MS Mincho" w:cs="Segoe UI"/>
                <w:szCs w:val="20"/>
                <w:lang w:eastAsia="ja-JP"/>
              </w:rPr>
              <w:t>Combination of previous two versions ie. inclusion of rationale section after recommendations. Protocol wording (OBER template) at end of document.</w:t>
            </w:r>
          </w:p>
          <w:p w14:paraId="5CDC1681"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F</w:t>
            </w:r>
            <w:r w:rsidRPr="009605BF">
              <w:rPr>
                <w:rFonts w:eastAsia="MS Mincho" w:cs="Segoe UI"/>
                <w:szCs w:val="20"/>
                <w:lang w:eastAsia="ja-JP"/>
              </w:rPr>
              <w:t>eedback from CW incorporated</w:t>
            </w:r>
            <w:r>
              <w:rPr>
                <w:rFonts w:eastAsia="MS Mincho" w:cs="Segoe UI"/>
                <w:szCs w:val="20"/>
                <w:lang w:eastAsia="ja-JP"/>
              </w:rPr>
              <w:t>.</w:t>
            </w:r>
            <w:r w:rsidRPr="009605BF">
              <w:rPr>
                <w:rFonts w:eastAsia="MS Mincho" w:cs="Segoe UI"/>
                <w:szCs w:val="20"/>
                <w:lang w:eastAsia="ja-JP"/>
              </w:rPr>
              <w:t xml:space="preserve"> </w:t>
            </w:r>
          </w:p>
        </w:tc>
        <w:tc>
          <w:tcPr>
            <w:tcW w:w="1797" w:type="dxa"/>
          </w:tcPr>
          <w:p w14:paraId="025830FA" w14:textId="77777777" w:rsidR="00711342" w:rsidRPr="002A086C" w:rsidRDefault="00711342" w:rsidP="00FA5FCD">
            <w:pPr>
              <w:spacing w:before="20" w:after="20" w:line="240" w:lineRule="auto"/>
              <w:rPr>
                <w:rFonts w:eastAsia="MS Mincho" w:cs="Segoe UI"/>
                <w:szCs w:val="20"/>
                <w:lang w:eastAsia="ja-JP"/>
              </w:rPr>
            </w:pPr>
            <w:r>
              <w:rPr>
                <w:rFonts w:eastAsia="MS Mincho" w:cs="Segoe UI"/>
                <w:szCs w:val="20"/>
                <w:lang w:eastAsia="ja-JP"/>
              </w:rPr>
              <w:t>Draft</w:t>
            </w:r>
          </w:p>
        </w:tc>
      </w:tr>
    </w:tbl>
    <w:p w14:paraId="320A1DF9" w14:textId="77777777" w:rsidR="00711342" w:rsidRDefault="00711342" w:rsidP="00711342">
      <w:pPr>
        <w:spacing w:after="0" w:line="240" w:lineRule="auto"/>
        <w:rPr>
          <w:rFonts w:eastAsia="MS Mincho" w:cs="Segoe UI"/>
          <w:b/>
          <w:szCs w:val="20"/>
          <w:lang w:eastAsia="ja-JP"/>
        </w:rPr>
      </w:pPr>
    </w:p>
    <w:p w14:paraId="492CADAB" w14:textId="77777777" w:rsidR="00711342" w:rsidRPr="00B06078" w:rsidRDefault="00711342" w:rsidP="00711342">
      <w:pPr>
        <w:spacing w:after="0" w:line="240" w:lineRule="auto"/>
        <w:rPr>
          <w:rFonts w:eastAsia="MS Mincho" w:cs="Segoe UI"/>
          <w:i/>
          <w:szCs w:val="20"/>
          <w:lang w:eastAsia="ja-JP"/>
        </w:rPr>
      </w:pPr>
      <w:r>
        <w:rPr>
          <w:rFonts w:eastAsia="MS Mincho" w:cs="Segoe UI"/>
          <w:b/>
          <w:szCs w:val="20"/>
          <w:lang w:eastAsia="ja-JP"/>
        </w:rPr>
        <w:t xml:space="preserve">Approved by </w:t>
      </w:r>
      <w:r>
        <w:rPr>
          <w:rFonts w:eastAsia="MS Mincho" w:cs="Segoe UI"/>
          <w:i/>
          <w:szCs w:val="20"/>
          <w:lang w:eastAsia="ja-JP"/>
        </w:rPr>
        <w:t>Pending by SC as at 25Aug2020</w:t>
      </w:r>
    </w:p>
    <w:p w14:paraId="520F4A01" w14:textId="77777777" w:rsidR="00711342" w:rsidRPr="002A086C" w:rsidRDefault="00711342" w:rsidP="00711342">
      <w:pPr>
        <w:spacing w:after="0" w:line="240" w:lineRule="auto"/>
        <w:rPr>
          <w:rFonts w:eastAsia="MS Mincho" w:cs="Segoe UI"/>
          <w:b/>
          <w:szCs w:val="20"/>
          <w:lang w:eastAsia="ja-JP"/>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089"/>
        <w:gridCol w:w="2673"/>
        <w:gridCol w:w="1515"/>
      </w:tblGrid>
      <w:tr w:rsidR="00711342" w:rsidRPr="002A086C" w14:paraId="209FC3BF" w14:textId="77777777" w:rsidTr="00FA5FCD">
        <w:tc>
          <w:tcPr>
            <w:tcW w:w="1275" w:type="dxa"/>
          </w:tcPr>
          <w:p w14:paraId="2F96F875"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Name</w:t>
            </w:r>
          </w:p>
        </w:tc>
        <w:tc>
          <w:tcPr>
            <w:tcW w:w="3199" w:type="dxa"/>
          </w:tcPr>
          <w:p w14:paraId="4DC67027"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Position</w:t>
            </w:r>
          </w:p>
        </w:tc>
        <w:tc>
          <w:tcPr>
            <w:tcW w:w="2755" w:type="dxa"/>
          </w:tcPr>
          <w:p w14:paraId="50C9653A"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Signature</w:t>
            </w:r>
          </w:p>
        </w:tc>
        <w:tc>
          <w:tcPr>
            <w:tcW w:w="1559" w:type="dxa"/>
          </w:tcPr>
          <w:p w14:paraId="593D52D6" w14:textId="77777777" w:rsidR="00711342" w:rsidRPr="002A086C" w:rsidRDefault="00711342" w:rsidP="00FA5FCD">
            <w:pPr>
              <w:spacing w:before="20" w:after="20" w:line="240" w:lineRule="auto"/>
              <w:rPr>
                <w:rFonts w:eastAsia="MS Mincho" w:cs="Segoe UI"/>
                <w:b/>
                <w:szCs w:val="20"/>
                <w:lang w:eastAsia="ja-JP"/>
              </w:rPr>
            </w:pPr>
            <w:r w:rsidRPr="002A086C">
              <w:rPr>
                <w:rFonts w:eastAsia="MS Mincho" w:cs="Segoe UI"/>
                <w:b/>
                <w:szCs w:val="20"/>
                <w:lang w:eastAsia="ja-JP"/>
              </w:rPr>
              <w:t>Date</w:t>
            </w:r>
          </w:p>
        </w:tc>
      </w:tr>
      <w:tr w:rsidR="00711342" w:rsidRPr="002A086C" w14:paraId="0E55E144" w14:textId="77777777" w:rsidTr="00FA5FCD">
        <w:tc>
          <w:tcPr>
            <w:tcW w:w="1275" w:type="dxa"/>
          </w:tcPr>
          <w:p w14:paraId="2C252E5C" w14:textId="77777777" w:rsidR="00711342" w:rsidRPr="002A086C" w:rsidRDefault="00711342" w:rsidP="00FA5FCD">
            <w:pPr>
              <w:spacing w:before="20" w:after="20" w:line="240" w:lineRule="auto"/>
              <w:rPr>
                <w:rFonts w:eastAsia="MS Mincho" w:cs="Segoe UI"/>
                <w:szCs w:val="20"/>
                <w:lang w:eastAsia="ja-JP"/>
              </w:rPr>
            </w:pPr>
          </w:p>
        </w:tc>
        <w:tc>
          <w:tcPr>
            <w:tcW w:w="3199" w:type="dxa"/>
          </w:tcPr>
          <w:p w14:paraId="29704D33" w14:textId="77777777" w:rsidR="00711342" w:rsidRPr="002A086C" w:rsidRDefault="00711342" w:rsidP="00FA5FCD">
            <w:pPr>
              <w:spacing w:before="20" w:after="20" w:line="240" w:lineRule="auto"/>
              <w:rPr>
                <w:rFonts w:eastAsia="MS Mincho" w:cs="Segoe UI"/>
                <w:szCs w:val="20"/>
                <w:lang w:eastAsia="ja-JP"/>
              </w:rPr>
            </w:pPr>
          </w:p>
        </w:tc>
        <w:tc>
          <w:tcPr>
            <w:tcW w:w="2755" w:type="dxa"/>
          </w:tcPr>
          <w:p w14:paraId="544E65D5" w14:textId="77777777" w:rsidR="00711342" w:rsidRPr="002A086C" w:rsidRDefault="00711342" w:rsidP="00FA5FCD">
            <w:pPr>
              <w:spacing w:before="20" w:after="20" w:line="240" w:lineRule="auto"/>
              <w:rPr>
                <w:rFonts w:eastAsia="MS Mincho" w:cs="Segoe UI"/>
                <w:szCs w:val="20"/>
                <w:lang w:eastAsia="ja-JP"/>
              </w:rPr>
            </w:pPr>
          </w:p>
        </w:tc>
        <w:tc>
          <w:tcPr>
            <w:tcW w:w="1559" w:type="dxa"/>
          </w:tcPr>
          <w:p w14:paraId="5EA58115" w14:textId="77777777" w:rsidR="00711342" w:rsidRPr="002A086C" w:rsidRDefault="00711342" w:rsidP="00FA5FCD">
            <w:pPr>
              <w:spacing w:before="20" w:after="20" w:line="240" w:lineRule="auto"/>
              <w:rPr>
                <w:rFonts w:eastAsia="MS Mincho" w:cs="Segoe UI"/>
                <w:szCs w:val="20"/>
                <w:lang w:eastAsia="ja-JP"/>
              </w:rPr>
            </w:pPr>
          </w:p>
        </w:tc>
      </w:tr>
    </w:tbl>
    <w:p w14:paraId="0FAFB0FE" w14:textId="77777777" w:rsidR="00711342" w:rsidRDefault="00711342" w:rsidP="00711342">
      <w:pPr>
        <w:spacing w:after="0" w:line="240" w:lineRule="auto"/>
        <w:rPr>
          <w:rFonts w:eastAsia="MS Mincho" w:cs="Segoe UI"/>
          <w:b/>
          <w:szCs w:val="20"/>
          <w:lang w:eastAsia="ja-JP"/>
        </w:rPr>
      </w:pPr>
    </w:p>
    <w:p w14:paraId="6225B818" w14:textId="601AA171" w:rsidR="00711342" w:rsidRDefault="00711342">
      <w:pPr>
        <w:rPr>
          <w:rFonts w:eastAsia="MS Mincho" w:cs="Segoe UI"/>
          <w:b/>
          <w:szCs w:val="20"/>
          <w:lang w:eastAsia="ja-JP"/>
        </w:rPr>
      </w:pPr>
      <w:r>
        <w:rPr>
          <w:rFonts w:eastAsia="MS Mincho" w:cs="Segoe UI"/>
          <w:b/>
          <w:szCs w:val="20"/>
          <w:lang w:eastAsia="ja-JP"/>
        </w:rPr>
        <w:br w:type="page"/>
      </w:r>
    </w:p>
    <w:p w14:paraId="6162BD64" w14:textId="1CE21928" w:rsidR="004E47DE" w:rsidRDefault="00896D57" w:rsidP="00F0168B">
      <w:pPr>
        <w:rPr>
          <w:rFonts w:cstheme="minorHAnsi"/>
          <w:b/>
          <w:sz w:val="28"/>
          <w:szCs w:val="24"/>
        </w:rPr>
      </w:pPr>
      <w:r>
        <w:rPr>
          <w:rFonts w:cstheme="minorHAnsi"/>
          <w:b/>
          <w:sz w:val="28"/>
          <w:szCs w:val="24"/>
        </w:rPr>
        <w:lastRenderedPageBreak/>
        <w:t xml:space="preserve">Recommended </w:t>
      </w:r>
      <w:r w:rsidR="0085254C">
        <w:rPr>
          <w:rFonts w:cstheme="minorHAnsi"/>
          <w:b/>
          <w:sz w:val="28"/>
          <w:szCs w:val="24"/>
        </w:rPr>
        <w:t>TR-ANZGOG optimum b</w:t>
      </w:r>
      <w:r>
        <w:rPr>
          <w:rFonts w:cstheme="minorHAnsi"/>
          <w:b/>
          <w:sz w:val="28"/>
          <w:szCs w:val="24"/>
        </w:rPr>
        <w:t>ios</w:t>
      </w:r>
      <w:r w:rsidR="00F0168B" w:rsidRPr="002C0D2F">
        <w:rPr>
          <w:rFonts w:cstheme="minorHAnsi"/>
          <w:b/>
          <w:sz w:val="28"/>
          <w:szCs w:val="24"/>
        </w:rPr>
        <w:t xml:space="preserve">pecimen collection </w:t>
      </w:r>
    </w:p>
    <w:p w14:paraId="57DED475" w14:textId="5598C8F8" w:rsidR="00F0168B" w:rsidRDefault="00F0168B" w:rsidP="00F0168B">
      <w:pPr>
        <w:rPr>
          <w:rFonts w:cstheme="minorHAnsi"/>
          <w:b/>
          <w:sz w:val="28"/>
          <w:szCs w:val="24"/>
        </w:rPr>
      </w:pPr>
      <w:r w:rsidRPr="002C0D2F">
        <w:rPr>
          <w:rFonts w:cstheme="minorHAnsi"/>
          <w:b/>
          <w:sz w:val="28"/>
          <w:szCs w:val="24"/>
        </w:rPr>
        <w:t xml:space="preserve">(Clinical trial dependent): </w:t>
      </w:r>
    </w:p>
    <w:p w14:paraId="47818483" w14:textId="288EA570" w:rsidR="0085254C" w:rsidRPr="00887270" w:rsidRDefault="0085254C" w:rsidP="0085254C">
      <w:pPr>
        <w:rPr>
          <w:rFonts w:cstheme="minorHAnsi"/>
          <w:b/>
          <w:sz w:val="24"/>
        </w:rPr>
      </w:pPr>
      <w:r w:rsidRPr="00887270">
        <w:rPr>
          <w:b/>
          <w:noProof/>
          <w:sz w:val="24"/>
          <w:lang w:val="en-AU" w:eastAsia="en-AU"/>
        </w:rPr>
        <mc:AlternateContent>
          <mc:Choice Requires="wps">
            <w:drawing>
              <wp:anchor distT="0" distB="0" distL="114300" distR="114300" simplePos="0" relativeHeight="251661312" behindDoc="0" locked="0" layoutInCell="1" allowOverlap="1" wp14:anchorId="5EB349FC" wp14:editId="1F2A2B14">
                <wp:simplePos x="0" y="0"/>
                <wp:positionH relativeFrom="column">
                  <wp:posOffset>-272415</wp:posOffset>
                </wp:positionH>
                <wp:positionV relativeFrom="paragraph">
                  <wp:posOffset>173990</wp:posOffset>
                </wp:positionV>
                <wp:extent cx="6400800" cy="58369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6400800" cy="58369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DE4ADA" id="Rectangle 4" o:spid="_x0000_s1026" style="position:absolute;margin-left:-21.45pt;margin-top:13.7pt;width:7in;height:45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" filled="f" strokecolor="#1f4d78 [1604]" strokeweight="1pt"/>
            </w:pict>
          </mc:Fallback>
        </mc:AlternateContent>
      </w:r>
    </w:p>
    <w:p w14:paraId="4EC56071" w14:textId="77777777" w:rsidR="0085254C" w:rsidRPr="005826ED" w:rsidRDefault="0085254C" w:rsidP="0085254C">
      <w:pPr>
        <w:rPr>
          <w:rFonts w:cstheme="minorHAnsi"/>
        </w:rPr>
      </w:pPr>
      <w:r w:rsidRPr="005826ED">
        <w:rPr>
          <w:rFonts w:cstheme="minorHAnsi"/>
          <w:bCs/>
          <w:iCs/>
        </w:rPr>
        <w:t xml:space="preserve">Representative </w:t>
      </w:r>
      <w:r w:rsidRPr="00B21F2C">
        <w:rPr>
          <w:rFonts w:cstheme="minorHAnsi"/>
          <w:bCs/>
          <w:i/>
          <w:iCs/>
        </w:rPr>
        <w:t xml:space="preserve">tumour </w:t>
      </w:r>
      <w:r w:rsidRPr="005826ED">
        <w:rPr>
          <w:rFonts w:cstheme="minorHAnsi"/>
          <w:bCs/>
          <w:iCs/>
        </w:rPr>
        <w:t xml:space="preserve">tissue sample/s </w:t>
      </w:r>
      <w:r w:rsidRPr="005826ED">
        <w:rPr>
          <w:rFonts w:cstheme="minorHAnsi"/>
          <w:iCs/>
        </w:rPr>
        <w:t>(order of preference):</w:t>
      </w:r>
    </w:p>
    <w:p w14:paraId="0511BA80" w14:textId="77777777" w:rsidR="0085254C" w:rsidRPr="008B2C8D" w:rsidRDefault="0085254C" w:rsidP="0085254C">
      <w:pPr>
        <w:numPr>
          <w:ilvl w:val="0"/>
          <w:numId w:val="4"/>
        </w:numPr>
        <w:spacing w:after="200" w:line="260" w:lineRule="atLeast"/>
        <w:rPr>
          <w:rFonts w:cstheme="minorHAnsi"/>
        </w:rPr>
      </w:pPr>
      <w:r w:rsidRPr="008B2C8D">
        <w:rPr>
          <w:rFonts w:cstheme="minorHAnsi"/>
        </w:rPr>
        <w:t>Archival FFPE block, primary and/or relapse</w:t>
      </w:r>
    </w:p>
    <w:p w14:paraId="142C861D" w14:textId="77777777" w:rsidR="0085254C" w:rsidRPr="008B2C8D" w:rsidRDefault="0085254C" w:rsidP="0085254C">
      <w:pPr>
        <w:numPr>
          <w:ilvl w:val="0"/>
          <w:numId w:val="4"/>
        </w:numPr>
        <w:spacing w:after="200" w:line="260" w:lineRule="atLeast"/>
        <w:rPr>
          <w:rFonts w:cstheme="minorHAnsi"/>
        </w:rPr>
      </w:pPr>
      <w:r w:rsidRPr="008B2C8D">
        <w:rPr>
          <w:rFonts w:cstheme="minorHAnsi"/>
        </w:rPr>
        <w:t xml:space="preserve">Temporary retention of FFPE block to create Tissue Microarray (up to 100 FFPE cores in duplicate per block) </w:t>
      </w:r>
      <w:r w:rsidRPr="008B2C8D">
        <w:rPr>
          <w:rFonts w:cstheme="minorHAnsi"/>
          <w:i/>
          <w:iCs/>
        </w:rPr>
        <w:t xml:space="preserve">eg </w:t>
      </w:r>
      <w:r w:rsidRPr="008B2C8D">
        <w:rPr>
          <w:rFonts w:cstheme="minorHAnsi"/>
        </w:rPr>
        <w:t>from each specific cohort of ANZGOG clinical trial participants</w:t>
      </w:r>
    </w:p>
    <w:p w14:paraId="0B21B033" w14:textId="77777777" w:rsidR="0085254C" w:rsidRPr="008B2C8D" w:rsidRDefault="0085254C" w:rsidP="0085254C">
      <w:pPr>
        <w:numPr>
          <w:ilvl w:val="0"/>
          <w:numId w:val="4"/>
        </w:numPr>
        <w:spacing w:after="200" w:line="260" w:lineRule="atLeast"/>
        <w:rPr>
          <w:rFonts w:cstheme="minorHAnsi"/>
        </w:rPr>
      </w:pPr>
      <w:r w:rsidRPr="008B2C8D">
        <w:rPr>
          <w:rFonts w:cstheme="minorHAnsi"/>
        </w:rPr>
        <w:t>If FFPE block not provided: Unstained slides, Cores and/or Curls</w:t>
      </w:r>
    </w:p>
    <w:p w14:paraId="267147B5" w14:textId="77777777" w:rsidR="0085254C" w:rsidRPr="0089678E" w:rsidRDefault="0085254C" w:rsidP="00B21F2C">
      <w:pPr>
        <w:numPr>
          <w:ilvl w:val="1"/>
          <w:numId w:val="12"/>
        </w:numPr>
        <w:spacing w:after="200" w:line="276" w:lineRule="auto"/>
        <w:rPr>
          <w:rFonts w:cstheme="minorHAnsi"/>
        </w:rPr>
      </w:pPr>
      <w:r w:rsidRPr="0089678E">
        <w:rPr>
          <w:rFonts w:cstheme="minorHAnsi"/>
        </w:rPr>
        <w:t xml:space="preserve">Unstained slides: IHC – 10 x 4 um unstained slides; DNA – 6 x 10 um </w:t>
      </w:r>
    </w:p>
    <w:p w14:paraId="62D8A08D" w14:textId="77777777" w:rsidR="0085254C" w:rsidRPr="0089678E" w:rsidRDefault="0085254C" w:rsidP="00B21F2C">
      <w:pPr>
        <w:numPr>
          <w:ilvl w:val="1"/>
          <w:numId w:val="12"/>
        </w:numPr>
        <w:spacing w:after="200" w:line="276" w:lineRule="auto"/>
        <w:rPr>
          <w:rFonts w:cstheme="minorHAnsi"/>
        </w:rPr>
      </w:pPr>
      <w:r w:rsidRPr="0089678E">
        <w:rPr>
          <w:rFonts w:cstheme="minorHAnsi"/>
        </w:rPr>
        <w:t>Cores: 4 x 1 mm punches</w:t>
      </w:r>
    </w:p>
    <w:p w14:paraId="2B942B19" w14:textId="77777777" w:rsidR="0085254C" w:rsidRPr="00887270" w:rsidRDefault="0085254C" w:rsidP="00B21F2C">
      <w:pPr>
        <w:numPr>
          <w:ilvl w:val="1"/>
          <w:numId w:val="12"/>
        </w:numPr>
        <w:spacing w:after="200" w:line="276" w:lineRule="auto"/>
        <w:rPr>
          <w:rFonts w:cstheme="minorHAnsi"/>
        </w:rPr>
      </w:pPr>
      <w:r w:rsidRPr="0089678E">
        <w:rPr>
          <w:rFonts w:cstheme="minorHAnsi"/>
          <w:lang w:val="en-US"/>
        </w:rPr>
        <w:t>Curls: 6 x 10 um scrolls</w:t>
      </w:r>
    </w:p>
    <w:p w14:paraId="6E462ACE" w14:textId="77777777" w:rsidR="0085254C" w:rsidRPr="008B2C8D" w:rsidRDefault="0085254C" w:rsidP="0085254C">
      <w:pPr>
        <w:numPr>
          <w:ilvl w:val="0"/>
          <w:numId w:val="4"/>
        </w:numPr>
        <w:spacing w:after="200" w:line="260" w:lineRule="atLeast"/>
        <w:rPr>
          <w:rFonts w:cstheme="minorHAnsi"/>
        </w:rPr>
      </w:pPr>
      <w:r w:rsidRPr="008B2C8D">
        <w:rPr>
          <w:rFonts w:cstheme="minorHAnsi"/>
        </w:rPr>
        <w:t>Where feasible, Ascites, for example:</w:t>
      </w:r>
    </w:p>
    <w:p w14:paraId="14E5210B" w14:textId="77777777" w:rsidR="0085254C" w:rsidRPr="008B2C8D" w:rsidRDefault="0085254C" w:rsidP="00B21F2C">
      <w:pPr>
        <w:numPr>
          <w:ilvl w:val="1"/>
          <w:numId w:val="13"/>
        </w:numPr>
        <w:spacing w:after="0" w:line="260" w:lineRule="atLeast"/>
        <w:rPr>
          <w:rFonts w:cstheme="minorHAnsi"/>
        </w:rPr>
      </w:pPr>
      <w:r w:rsidRPr="008B2C8D">
        <w:rPr>
          <w:rFonts w:cstheme="minorHAnsi"/>
        </w:rPr>
        <w:t>Purified tumour cells for future DNA/RNA extraction</w:t>
      </w:r>
    </w:p>
    <w:p w14:paraId="35314E61" w14:textId="77777777" w:rsidR="0085254C" w:rsidRDefault="0085254C" w:rsidP="00B21F2C">
      <w:pPr>
        <w:numPr>
          <w:ilvl w:val="1"/>
          <w:numId w:val="13"/>
        </w:numPr>
        <w:spacing w:after="0" w:line="260" w:lineRule="atLeast"/>
        <w:rPr>
          <w:rFonts w:cstheme="minorHAnsi"/>
        </w:rPr>
      </w:pPr>
      <w:r w:rsidRPr="008B2C8D">
        <w:rPr>
          <w:rFonts w:cstheme="minorHAnsi"/>
        </w:rPr>
        <w:t>Cell block for future IHC/ DNA/RNA extraction</w:t>
      </w:r>
    </w:p>
    <w:p w14:paraId="3F98BF99" w14:textId="77777777" w:rsidR="0085254C" w:rsidRPr="00896D57" w:rsidRDefault="0085254C" w:rsidP="00B21F2C">
      <w:pPr>
        <w:numPr>
          <w:ilvl w:val="1"/>
          <w:numId w:val="13"/>
        </w:numPr>
        <w:spacing w:after="200" w:line="260" w:lineRule="atLeast"/>
        <w:rPr>
          <w:rFonts w:cstheme="minorHAnsi"/>
        </w:rPr>
      </w:pPr>
      <w:r>
        <w:rPr>
          <w:rFonts w:cstheme="minorHAnsi"/>
        </w:rPr>
        <w:t>Cytospin for tumour cell assessment</w:t>
      </w:r>
    </w:p>
    <w:p w14:paraId="61FB1AAF" w14:textId="77777777" w:rsidR="0085254C" w:rsidRDefault="0085254C" w:rsidP="00B21F2C">
      <w:pPr>
        <w:numPr>
          <w:ilvl w:val="1"/>
          <w:numId w:val="13"/>
        </w:numPr>
        <w:spacing w:after="0" w:line="260" w:lineRule="atLeast"/>
        <w:rPr>
          <w:rFonts w:cstheme="minorHAnsi"/>
        </w:rPr>
      </w:pPr>
      <w:r>
        <w:rPr>
          <w:rFonts w:cstheme="minorHAnsi"/>
        </w:rPr>
        <w:t>E</w:t>
      </w:r>
      <w:r w:rsidRPr="008B2C8D">
        <w:rPr>
          <w:rFonts w:cstheme="minorHAnsi"/>
        </w:rPr>
        <w:t>stablishment of permanent tumour cell lines</w:t>
      </w:r>
      <w:r>
        <w:rPr>
          <w:rFonts w:cstheme="minorHAnsi"/>
        </w:rPr>
        <w:t xml:space="preserve"> </w:t>
      </w:r>
      <w:r w:rsidRPr="0089678E">
        <w:rPr>
          <w:rFonts w:cstheme="minorHAnsi"/>
        </w:rPr>
        <w:t xml:space="preserve">(TR-ANZGOG- designated laboratories may freeze aliquots of centrifuged ascites in suitable media to facilitate the generation of these cell lines by researchers).   </w:t>
      </w:r>
    </w:p>
    <w:p w14:paraId="793B9E10" w14:textId="77777777" w:rsidR="0085254C" w:rsidRPr="0089678E" w:rsidRDefault="0085254C" w:rsidP="00B21F2C">
      <w:pPr>
        <w:numPr>
          <w:ilvl w:val="1"/>
          <w:numId w:val="13"/>
        </w:numPr>
        <w:spacing w:after="200" w:line="276" w:lineRule="auto"/>
        <w:rPr>
          <w:rFonts w:cstheme="minorHAnsi"/>
        </w:rPr>
      </w:pPr>
      <w:r w:rsidRPr="0089678E">
        <w:rPr>
          <w:rFonts w:cstheme="minorHAnsi"/>
          <w:noProof/>
        </w:rPr>
        <w:t xml:space="preserve">Future establishment of </w:t>
      </w:r>
      <w:r w:rsidRPr="0089678E">
        <w:rPr>
          <w:rFonts w:cstheme="minorHAnsi"/>
          <w:noProof/>
          <w:lang w:val="en-AU" w:eastAsia="en-AU"/>
        </w:rPr>
        <w:t>permanent ly</w:t>
      </w:r>
      <w:r>
        <w:rPr>
          <w:rFonts w:cstheme="minorHAnsi"/>
          <w:noProof/>
        </w:rPr>
        <w:t>mphoblastoid cell</w:t>
      </w:r>
      <w:r w:rsidRPr="0089678E">
        <w:rPr>
          <w:rFonts w:cstheme="minorHAnsi"/>
          <w:noProof/>
        </w:rPr>
        <w:t xml:space="preserve"> lines (LCL’s)</w:t>
      </w:r>
    </w:p>
    <w:p w14:paraId="7F2BBAA1" w14:textId="77777777" w:rsidR="0085254C" w:rsidRPr="008B2C8D" w:rsidRDefault="0085254C" w:rsidP="0085254C">
      <w:pPr>
        <w:spacing w:after="0" w:line="260" w:lineRule="atLeast"/>
        <w:ind w:left="1434"/>
        <w:rPr>
          <w:rFonts w:cstheme="minorHAnsi"/>
        </w:rPr>
      </w:pPr>
    </w:p>
    <w:p w14:paraId="4BA3A534" w14:textId="77777777" w:rsidR="0085254C" w:rsidRPr="00B21F2C" w:rsidRDefault="0085254C" w:rsidP="0085254C">
      <w:pPr>
        <w:rPr>
          <w:rFonts w:cstheme="minorHAnsi"/>
          <w:i/>
        </w:rPr>
      </w:pPr>
      <w:r w:rsidRPr="00B21F2C">
        <w:rPr>
          <w:rFonts w:cstheme="minorHAnsi"/>
          <w:i/>
        </w:rPr>
        <w:t>Blood</w:t>
      </w:r>
    </w:p>
    <w:p w14:paraId="60059953" w14:textId="77777777" w:rsidR="0085254C" w:rsidRPr="008B2C8D" w:rsidRDefault="0085254C" w:rsidP="0085254C">
      <w:pPr>
        <w:rPr>
          <w:rFonts w:cstheme="minorHAnsi"/>
        </w:rPr>
      </w:pPr>
      <w:r w:rsidRPr="008B2C8D">
        <w:rPr>
          <w:rFonts w:cstheme="minorHAnsi"/>
        </w:rPr>
        <w:t>Examples:</w:t>
      </w:r>
    </w:p>
    <w:p w14:paraId="555CAE65" w14:textId="77777777" w:rsidR="0085254C" w:rsidRDefault="0085254C" w:rsidP="00B21F2C">
      <w:pPr>
        <w:numPr>
          <w:ilvl w:val="0"/>
          <w:numId w:val="2"/>
        </w:numPr>
        <w:spacing w:after="0" w:line="260" w:lineRule="atLeast"/>
        <w:ind w:left="714" w:hanging="357"/>
        <w:rPr>
          <w:rFonts w:cstheme="minorHAnsi"/>
        </w:rPr>
      </w:pPr>
      <w:r w:rsidRPr="008B2C8D">
        <w:rPr>
          <w:rFonts w:cstheme="minorHAnsi"/>
        </w:rPr>
        <w:t>1 x 9 mL ACD sample (whole blood, white blood cells)</w:t>
      </w:r>
    </w:p>
    <w:p w14:paraId="64A854B7" w14:textId="06DC8811" w:rsidR="0085254C" w:rsidRPr="00B21F2C" w:rsidRDefault="0085254C" w:rsidP="00B21F2C">
      <w:pPr>
        <w:numPr>
          <w:ilvl w:val="0"/>
          <w:numId w:val="2"/>
        </w:numPr>
        <w:spacing w:after="0" w:line="260" w:lineRule="atLeast"/>
        <w:ind w:left="714" w:hanging="357"/>
        <w:rPr>
          <w:rFonts w:cstheme="minorHAnsi"/>
        </w:rPr>
      </w:pPr>
      <w:r w:rsidRPr="0085254C">
        <w:rPr>
          <w:rFonts w:cstheme="minorHAnsi"/>
        </w:rPr>
        <w:t>1 x 5 mL EDTA sample (Guthrie cards, plasma, buffy coats)</w:t>
      </w:r>
      <w:r w:rsidRPr="0085254C">
        <w:rPr>
          <w:rFonts w:cstheme="minorHAnsi"/>
          <w:i/>
        </w:rPr>
        <w:br w:type="page"/>
      </w:r>
    </w:p>
    <w:p w14:paraId="41DB0424" w14:textId="25B5B4D9" w:rsidR="0085254C" w:rsidRDefault="0085254C" w:rsidP="00F0168B">
      <w:pPr>
        <w:rPr>
          <w:rFonts w:cstheme="minorHAnsi"/>
          <w:b/>
          <w:sz w:val="24"/>
        </w:rPr>
      </w:pPr>
      <w:r>
        <w:rPr>
          <w:rFonts w:cstheme="minorHAnsi"/>
          <w:b/>
          <w:sz w:val="24"/>
        </w:rPr>
        <w:lastRenderedPageBreak/>
        <w:t>Rationale</w:t>
      </w:r>
    </w:p>
    <w:p w14:paraId="237B9767" w14:textId="00F979DB" w:rsidR="00F0168B" w:rsidRDefault="00F0168B" w:rsidP="00F0168B">
      <w:pPr>
        <w:rPr>
          <w:rFonts w:cstheme="minorHAnsi"/>
        </w:rPr>
      </w:pPr>
      <w:r>
        <w:rPr>
          <w:rFonts w:cstheme="minorHAnsi"/>
        </w:rPr>
        <w:t xml:space="preserve">The </w:t>
      </w:r>
      <w:r w:rsidR="0085254C">
        <w:rPr>
          <w:rFonts w:cstheme="minorHAnsi"/>
        </w:rPr>
        <w:t>above</w:t>
      </w:r>
      <w:r>
        <w:rPr>
          <w:rFonts w:cstheme="minorHAnsi"/>
        </w:rPr>
        <w:t xml:space="preserve"> table outlines the recommended </w:t>
      </w:r>
      <w:r w:rsidR="00933609">
        <w:rPr>
          <w:rFonts w:cstheme="minorHAnsi"/>
        </w:rPr>
        <w:t>optimal samples to collect</w:t>
      </w:r>
      <w:r>
        <w:rPr>
          <w:rFonts w:cstheme="minorHAnsi"/>
        </w:rPr>
        <w:t xml:space="preserve"> per patient to </w:t>
      </w:r>
      <w:r w:rsidR="00933609">
        <w:rPr>
          <w:rFonts w:cstheme="minorHAnsi"/>
        </w:rPr>
        <w:t>ensure</w:t>
      </w:r>
      <w:r>
        <w:rPr>
          <w:rFonts w:cstheme="minorHAnsi"/>
        </w:rPr>
        <w:t xml:space="preserve"> an adequate resource to facilitate future research.  However, e</w:t>
      </w:r>
      <w:r w:rsidRPr="008B2C8D">
        <w:rPr>
          <w:rFonts w:cstheme="minorHAnsi"/>
        </w:rPr>
        <w:t xml:space="preserve">ach clinical </w:t>
      </w:r>
      <w:r w:rsidR="00397B25">
        <w:rPr>
          <w:rFonts w:cstheme="minorHAnsi"/>
        </w:rPr>
        <w:t xml:space="preserve">trial </w:t>
      </w:r>
      <w:r w:rsidRPr="008B2C8D">
        <w:rPr>
          <w:rFonts w:cstheme="minorHAnsi"/>
        </w:rPr>
        <w:t xml:space="preserve">will differ in objectives and </w:t>
      </w:r>
      <w:r w:rsidR="00933609">
        <w:rPr>
          <w:rFonts w:cstheme="minorHAnsi"/>
        </w:rPr>
        <w:t xml:space="preserve">therefore, the </w:t>
      </w:r>
      <w:r w:rsidRPr="008B2C8D">
        <w:rPr>
          <w:rFonts w:cstheme="minorHAnsi"/>
        </w:rPr>
        <w:t>specimens to be collected.  Flexible guidelines are required to reach a balance between what is practical</w:t>
      </w:r>
      <w:r>
        <w:rPr>
          <w:rFonts w:cstheme="minorHAnsi"/>
        </w:rPr>
        <w:t xml:space="preserve">, </w:t>
      </w:r>
      <w:r w:rsidRPr="008B2C8D">
        <w:rPr>
          <w:rFonts w:cstheme="minorHAnsi"/>
        </w:rPr>
        <w:t>useful</w:t>
      </w:r>
      <w:r>
        <w:rPr>
          <w:rFonts w:cstheme="minorHAnsi"/>
        </w:rPr>
        <w:t xml:space="preserve"> and warranted use of resources</w:t>
      </w:r>
      <w:r w:rsidRPr="008B2C8D">
        <w:rPr>
          <w:rFonts w:cstheme="minorHAnsi"/>
        </w:rPr>
        <w:t xml:space="preserve"> without interfering with trial processes</w:t>
      </w:r>
      <w:r>
        <w:rPr>
          <w:rFonts w:cstheme="minorHAnsi"/>
        </w:rPr>
        <w:t xml:space="preserve"> nor increasing patient burden.</w:t>
      </w:r>
    </w:p>
    <w:p w14:paraId="576C0E87" w14:textId="650AFD58" w:rsidR="00F0168B" w:rsidRDefault="00F0168B" w:rsidP="00453196">
      <w:pPr>
        <w:spacing w:after="0"/>
        <w:rPr>
          <w:rFonts w:cstheme="minorHAnsi"/>
        </w:rPr>
      </w:pPr>
      <w:r>
        <w:rPr>
          <w:rFonts w:cstheme="minorHAnsi"/>
        </w:rPr>
        <w:t xml:space="preserve">Resources will be prepared for clinician support including </w:t>
      </w:r>
      <w:r w:rsidRPr="008B2C8D">
        <w:rPr>
          <w:rFonts w:cstheme="minorHAnsi"/>
        </w:rPr>
        <w:t xml:space="preserve">tables </w:t>
      </w:r>
      <w:r>
        <w:rPr>
          <w:rFonts w:cstheme="minorHAnsi"/>
        </w:rPr>
        <w:t>outlining</w:t>
      </w:r>
      <w:r w:rsidRPr="008B2C8D">
        <w:rPr>
          <w:rFonts w:cstheme="minorHAnsi"/>
        </w:rPr>
        <w:t xml:space="preserve"> sample collection </w:t>
      </w:r>
      <w:r>
        <w:rPr>
          <w:rFonts w:cstheme="minorHAnsi"/>
        </w:rPr>
        <w:t xml:space="preserve">requirements, processing </w:t>
      </w:r>
      <w:r w:rsidR="002C0D2F">
        <w:rPr>
          <w:rFonts w:cstheme="minorHAnsi"/>
        </w:rPr>
        <w:t xml:space="preserve">standard operating procedures (SOPs) </w:t>
      </w:r>
      <w:r>
        <w:rPr>
          <w:rFonts w:cstheme="minorHAnsi"/>
        </w:rPr>
        <w:t xml:space="preserve">and </w:t>
      </w:r>
      <w:r w:rsidR="002C0D2F">
        <w:rPr>
          <w:rFonts w:cstheme="minorHAnsi"/>
        </w:rPr>
        <w:t>budget considerations</w:t>
      </w:r>
      <w:r>
        <w:rPr>
          <w:rFonts w:cstheme="minorHAnsi"/>
        </w:rPr>
        <w:t xml:space="preserve">, based upon </w:t>
      </w:r>
      <w:r w:rsidRPr="008B2C8D">
        <w:rPr>
          <w:rFonts w:cstheme="minorHAnsi"/>
        </w:rPr>
        <w:t>desired research activity</w:t>
      </w:r>
      <w:r>
        <w:rPr>
          <w:rFonts w:cstheme="minorHAnsi"/>
        </w:rPr>
        <w:t>.</w:t>
      </w:r>
      <w:r w:rsidRPr="002E5414">
        <w:rPr>
          <w:rFonts w:cstheme="minorHAnsi"/>
        </w:rPr>
        <w:t xml:space="preserve"> </w:t>
      </w:r>
      <w:r>
        <w:rPr>
          <w:rFonts w:cstheme="minorHAnsi"/>
        </w:rPr>
        <w:t xml:space="preserve"> For example, a</w:t>
      </w:r>
      <w:r w:rsidRPr="002E5414">
        <w:rPr>
          <w:rFonts w:cstheme="minorHAnsi"/>
        </w:rPr>
        <w:t xml:space="preserve"> larger blood sample may be required </w:t>
      </w:r>
      <w:r>
        <w:rPr>
          <w:rFonts w:cstheme="minorHAnsi"/>
        </w:rPr>
        <w:t xml:space="preserve">for immunotherapy trials </w:t>
      </w:r>
      <w:r w:rsidRPr="002E5414">
        <w:rPr>
          <w:rFonts w:cstheme="minorHAnsi"/>
        </w:rPr>
        <w:t>than for other trials to acquire adequate</w:t>
      </w:r>
      <w:r w:rsidRPr="008B2C8D">
        <w:rPr>
          <w:rFonts w:cstheme="minorHAnsi"/>
        </w:rPr>
        <w:t xml:space="preserve"> lymphocytes from buffy coat.</w:t>
      </w:r>
      <w:r>
        <w:rPr>
          <w:rFonts w:cstheme="minorHAnsi"/>
        </w:rPr>
        <w:t xml:space="preserve"> </w:t>
      </w:r>
    </w:p>
    <w:p w14:paraId="67762F27" w14:textId="77777777" w:rsidR="00F0168B" w:rsidRDefault="00F0168B" w:rsidP="00F0168B">
      <w:pPr>
        <w:rPr>
          <w:rFonts w:cstheme="minorHAnsi"/>
        </w:rPr>
      </w:pPr>
      <w:r>
        <w:rPr>
          <w:rFonts w:cstheme="minorHAnsi"/>
        </w:rPr>
        <w:t xml:space="preserve">Guidelines on collection time points must remain flexible to accommodate trial objectives, eg.  </w:t>
      </w:r>
      <w:r w:rsidRPr="008B2C8D">
        <w:rPr>
          <w:rFonts w:cstheme="minorHAnsi"/>
        </w:rPr>
        <w:t>baseli</w:t>
      </w:r>
      <w:r>
        <w:rPr>
          <w:rFonts w:cstheme="minorHAnsi"/>
        </w:rPr>
        <w:t>ne may be pre or post treatment or</w:t>
      </w:r>
      <w:r w:rsidRPr="008B2C8D">
        <w:rPr>
          <w:rFonts w:cstheme="minorHAnsi"/>
        </w:rPr>
        <w:t xml:space="preserve"> end of treatment may be taken months later if waiting for WBCs to recover.  </w:t>
      </w:r>
    </w:p>
    <w:p w14:paraId="3BFBCA67" w14:textId="4E7BB4C5" w:rsidR="00F0168B" w:rsidRPr="00813EEB" w:rsidRDefault="00FE2753" w:rsidP="00F0168B">
      <w:pPr>
        <w:rPr>
          <w:rFonts w:cstheme="minorHAnsi"/>
        </w:rPr>
      </w:pPr>
      <w:r>
        <w:rPr>
          <w:rFonts w:cstheme="minorHAnsi"/>
        </w:rPr>
        <w:t>It is recommended that a</w:t>
      </w:r>
      <w:r w:rsidR="00F0168B" w:rsidRPr="00813EEB">
        <w:rPr>
          <w:rFonts w:cstheme="minorHAnsi"/>
        </w:rPr>
        <w:t xml:space="preserve">ll new </w:t>
      </w:r>
      <w:r w:rsidR="00F0168B">
        <w:rPr>
          <w:rFonts w:cstheme="minorHAnsi"/>
        </w:rPr>
        <w:t xml:space="preserve">ANZGOG </w:t>
      </w:r>
      <w:r w:rsidR="00F0168B" w:rsidRPr="00813EEB">
        <w:rPr>
          <w:rFonts w:cstheme="minorHAnsi"/>
        </w:rPr>
        <w:t xml:space="preserve">trials </w:t>
      </w:r>
      <w:r w:rsidR="00F0168B">
        <w:rPr>
          <w:rFonts w:cstheme="minorHAnsi"/>
        </w:rPr>
        <w:t>incorporating TR sub-studies</w:t>
      </w:r>
      <w:r w:rsidR="00F0168B" w:rsidRPr="00813EEB">
        <w:rPr>
          <w:rFonts w:cstheme="minorHAnsi"/>
        </w:rPr>
        <w:t xml:space="preserve"> </w:t>
      </w:r>
      <w:r>
        <w:rPr>
          <w:rFonts w:cstheme="minorHAnsi"/>
        </w:rPr>
        <w:t>liaise with</w:t>
      </w:r>
      <w:r w:rsidR="00F0168B">
        <w:rPr>
          <w:rFonts w:cstheme="minorHAnsi"/>
        </w:rPr>
        <w:t xml:space="preserve"> </w:t>
      </w:r>
      <w:r w:rsidR="00F0168B" w:rsidRPr="00813EEB">
        <w:rPr>
          <w:rFonts w:cstheme="minorHAnsi"/>
        </w:rPr>
        <w:t xml:space="preserve">TR-ANZGOG </w:t>
      </w:r>
      <w:r w:rsidR="00F0168B">
        <w:rPr>
          <w:rFonts w:cstheme="minorHAnsi"/>
        </w:rPr>
        <w:t>during the</w:t>
      </w:r>
      <w:r w:rsidR="00F0168B" w:rsidRPr="00813EEB">
        <w:rPr>
          <w:rFonts w:cstheme="minorHAnsi"/>
        </w:rPr>
        <w:t xml:space="preserve"> </w:t>
      </w:r>
      <w:r>
        <w:rPr>
          <w:rFonts w:cstheme="minorHAnsi"/>
        </w:rPr>
        <w:t xml:space="preserve">trial </w:t>
      </w:r>
      <w:r w:rsidR="00F0168B" w:rsidRPr="00813EEB">
        <w:rPr>
          <w:rFonts w:cstheme="minorHAnsi"/>
        </w:rPr>
        <w:t>development stage</w:t>
      </w:r>
      <w:r w:rsidR="002C0D2F">
        <w:rPr>
          <w:rFonts w:cstheme="minorHAnsi"/>
        </w:rPr>
        <w:t xml:space="preserve"> and </w:t>
      </w:r>
      <w:r>
        <w:rPr>
          <w:rFonts w:cstheme="minorHAnsi"/>
        </w:rPr>
        <w:t>when submitting</w:t>
      </w:r>
      <w:r w:rsidR="002C0D2F">
        <w:rPr>
          <w:rFonts w:cstheme="minorHAnsi"/>
        </w:rPr>
        <w:t xml:space="preserve"> grant applications</w:t>
      </w:r>
      <w:r>
        <w:rPr>
          <w:rFonts w:cstheme="minorHAnsi"/>
        </w:rPr>
        <w:t xml:space="preserve"> to </w:t>
      </w:r>
      <w:r w:rsidR="00397B25">
        <w:rPr>
          <w:rFonts w:cstheme="minorHAnsi"/>
        </w:rPr>
        <w:t xml:space="preserve">assist with methods, protocols etc and to </w:t>
      </w:r>
      <w:r>
        <w:rPr>
          <w:rFonts w:cstheme="minorHAnsi"/>
        </w:rPr>
        <w:t>ensure that the translational aspects are adequately covered in the budget</w:t>
      </w:r>
      <w:r w:rsidR="002C0D2F">
        <w:rPr>
          <w:rFonts w:cstheme="minorHAnsi"/>
        </w:rPr>
        <w:t>.</w:t>
      </w:r>
    </w:p>
    <w:p w14:paraId="4590A616" w14:textId="2E8D2D41" w:rsidR="006D09FC" w:rsidRDefault="00F0168B" w:rsidP="006D09FC">
      <w:pPr>
        <w:rPr>
          <w:rFonts w:cstheme="minorHAnsi"/>
        </w:rPr>
      </w:pPr>
      <w:r w:rsidRPr="008B2C8D">
        <w:rPr>
          <w:rFonts w:cstheme="minorHAnsi"/>
        </w:rPr>
        <w:t xml:space="preserve">  </w:t>
      </w:r>
    </w:p>
    <w:p w14:paraId="48A836D9" w14:textId="72BB454A" w:rsidR="00F0168B" w:rsidRPr="00933609" w:rsidRDefault="00F0168B" w:rsidP="00B21F2C">
      <w:pPr>
        <w:spacing w:after="0" w:line="260" w:lineRule="atLeast"/>
        <w:rPr>
          <w:rFonts w:cstheme="minorHAnsi"/>
          <w:i/>
        </w:rPr>
      </w:pPr>
    </w:p>
    <w:p w14:paraId="784CF540" w14:textId="08F4EF9F" w:rsidR="00F0168B" w:rsidRPr="00813EEB" w:rsidRDefault="00F0168B" w:rsidP="00F0168B">
      <w:pPr>
        <w:spacing w:line="276" w:lineRule="auto"/>
        <w:rPr>
          <w:rFonts w:cstheme="minorHAnsi"/>
        </w:rPr>
      </w:pPr>
      <w:r w:rsidRPr="00813EEB">
        <w:rPr>
          <w:rFonts w:cstheme="minorHAnsi"/>
        </w:rPr>
        <w:t xml:space="preserve">Table 2: TR-ANZGOG blood samples and </w:t>
      </w:r>
      <w:r w:rsidR="00B8135A">
        <w:rPr>
          <w:rFonts w:cstheme="minorHAnsi"/>
        </w:rPr>
        <w:t>derivatives</w:t>
      </w:r>
    </w:p>
    <w:tbl>
      <w:tblPr>
        <w:tblStyle w:val="TableGrid"/>
        <w:tblW w:w="5000" w:type="pct"/>
        <w:tblInd w:w="0" w:type="dxa"/>
        <w:tblLook w:val="04A0" w:firstRow="1" w:lastRow="0" w:firstColumn="1" w:lastColumn="0" w:noHBand="0" w:noVBand="1"/>
      </w:tblPr>
      <w:tblGrid>
        <w:gridCol w:w="2568"/>
        <w:gridCol w:w="2751"/>
        <w:gridCol w:w="1881"/>
        <w:gridCol w:w="1861"/>
      </w:tblGrid>
      <w:tr w:rsidR="00F0168B" w:rsidRPr="00813EEB" w14:paraId="32D8A0B5"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6990F6" w14:textId="77777777" w:rsidR="00F0168B" w:rsidRPr="00813EEB" w:rsidRDefault="00F0168B" w:rsidP="002B7C1B">
            <w:pPr>
              <w:spacing w:line="276" w:lineRule="auto"/>
              <w:rPr>
                <w:rFonts w:cstheme="minorHAnsi"/>
                <w:lang w:val="en-AU"/>
              </w:rPr>
            </w:pPr>
            <w:r w:rsidRPr="00813EEB">
              <w:rPr>
                <w:rFonts w:cstheme="minorHAnsi"/>
                <w:lang w:val="en-AU"/>
              </w:rPr>
              <w:t>Parent sample (per donor)</w:t>
            </w:r>
          </w:p>
        </w:tc>
        <w:tc>
          <w:tcPr>
            <w:tcW w:w="1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EAF8D2" w14:textId="77777777" w:rsidR="00F0168B" w:rsidRPr="00813EEB" w:rsidRDefault="00F0168B" w:rsidP="002B7C1B">
            <w:pPr>
              <w:spacing w:line="276" w:lineRule="auto"/>
              <w:rPr>
                <w:rFonts w:cstheme="minorHAnsi"/>
                <w:lang w:val="en-AU"/>
              </w:rPr>
            </w:pPr>
            <w:r w:rsidRPr="00813EEB">
              <w:rPr>
                <w:rFonts w:cstheme="minorHAnsi"/>
                <w:lang w:val="en-AU"/>
              </w:rPr>
              <w:t>Product</w:t>
            </w:r>
          </w:p>
        </w:tc>
        <w:tc>
          <w:tcPr>
            <w:tcW w:w="10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5866C1" w14:textId="77777777" w:rsidR="00F0168B" w:rsidRPr="00813EEB" w:rsidRDefault="00F0168B" w:rsidP="002B7C1B">
            <w:pPr>
              <w:spacing w:line="276" w:lineRule="auto"/>
              <w:rPr>
                <w:rFonts w:cstheme="minorHAnsi"/>
                <w:lang w:val="en-AU"/>
              </w:rPr>
            </w:pPr>
            <w:r w:rsidRPr="00813EEB">
              <w:rPr>
                <w:rFonts w:cstheme="minorHAnsi"/>
                <w:lang w:val="en-AU"/>
              </w:rPr>
              <w:t>Number of Aliquots</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AEB7B" w14:textId="77777777" w:rsidR="00F0168B" w:rsidRPr="00813EEB" w:rsidRDefault="00F0168B" w:rsidP="002B7C1B">
            <w:pPr>
              <w:spacing w:line="276" w:lineRule="auto"/>
              <w:rPr>
                <w:rFonts w:cstheme="minorHAnsi"/>
                <w:lang w:val="en-AU"/>
              </w:rPr>
            </w:pPr>
            <w:r w:rsidRPr="00813EEB">
              <w:rPr>
                <w:rFonts w:cstheme="minorHAnsi"/>
                <w:lang w:val="en-AU"/>
              </w:rPr>
              <w:t>Aliquot Size</w:t>
            </w:r>
          </w:p>
        </w:tc>
      </w:tr>
      <w:tr w:rsidR="00F0168B" w:rsidRPr="00813EEB" w14:paraId="31AFAB93"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vAlign w:val="center"/>
            <w:hideMark/>
          </w:tcPr>
          <w:p w14:paraId="3B99FD1F" w14:textId="5D9A6EEB" w:rsidR="00F0168B" w:rsidRPr="00813EEB" w:rsidRDefault="00F0168B" w:rsidP="002B7C1B">
            <w:pPr>
              <w:spacing w:line="276" w:lineRule="auto"/>
              <w:rPr>
                <w:rFonts w:cstheme="minorHAnsi"/>
                <w:lang w:val="en-AU"/>
              </w:rPr>
            </w:pPr>
            <w:r w:rsidRPr="00813EEB">
              <w:rPr>
                <w:rFonts w:cstheme="minorHAnsi"/>
                <w:lang w:val="en-AU"/>
              </w:rPr>
              <w:t>1 x 9</w:t>
            </w:r>
            <w:r w:rsidR="003E79FA">
              <w:rPr>
                <w:rFonts w:cstheme="minorHAnsi"/>
                <w:lang w:val="en-AU"/>
              </w:rPr>
              <w:t xml:space="preserve"> </w:t>
            </w:r>
            <w:r w:rsidRPr="00813EEB">
              <w:rPr>
                <w:rFonts w:cstheme="minorHAnsi"/>
                <w:lang w:val="en-AU"/>
              </w:rPr>
              <w:t>mL ACD</w:t>
            </w:r>
          </w:p>
        </w:tc>
        <w:tc>
          <w:tcPr>
            <w:tcW w:w="1518" w:type="pct"/>
            <w:tcBorders>
              <w:top w:val="single" w:sz="4" w:space="0" w:color="auto"/>
              <w:left w:val="single" w:sz="4" w:space="0" w:color="auto"/>
              <w:bottom w:val="single" w:sz="4" w:space="0" w:color="auto"/>
              <w:right w:val="single" w:sz="4" w:space="0" w:color="auto"/>
            </w:tcBorders>
            <w:vAlign w:val="center"/>
            <w:hideMark/>
          </w:tcPr>
          <w:p w14:paraId="1D905F09" w14:textId="77777777" w:rsidR="00F0168B" w:rsidRPr="00813EEB" w:rsidRDefault="00F0168B" w:rsidP="002B7C1B">
            <w:pPr>
              <w:spacing w:line="276" w:lineRule="auto"/>
              <w:rPr>
                <w:rFonts w:cstheme="minorHAnsi"/>
                <w:lang w:val="en-AU"/>
              </w:rPr>
            </w:pPr>
            <w:r w:rsidRPr="00813EEB">
              <w:rPr>
                <w:rFonts w:cstheme="minorHAnsi"/>
                <w:lang w:val="en-AU"/>
              </w:rPr>
              <w:t>Whole blood</w:t>
            </w:r>
          </w:p>
        </w:tc>
        <w:tc>
          <w:tcPr>
            <w:tcW w:w="1038" w:type="pct"/>
            <w:tcBorders>
              <w:top w:val="single" w:sz="4" w:space="0" w:color="auto"/>
              <w:left w:val="single" w:sz="4" w:space="0" w:color="auto"/>
              <w:bottom w:val="single" w:sz="4" w:space="0" w:color="auto"/>
              <w:right w:val="single" w:sz="4" w:space="0" w:color="auto"/>
            </w:tcBorders>
            <w:vAlign w:val="center"/>
            <w:hideMark/>
          </w:tcPr>
          <w:p w14:paraId="469AAEC4" w14:textId="77777777" w:rsidR="00F0168B" w:rsidRPr="00813EEB" w:rsidRDefault="00F0168B" w:rsidP="002B7C1B">
            <w:pPr>
              <w:spacing w:line="276" w:lineRule="auto"/>
              <w:rPr>
                <w:rFonts w:cstheme="minorHAnsi"/>
                <w:lang w:val="en-AU"/>
              </w:rPr>
            </w:pPr>
            <w:r w:rsidRPr="00813EEB">
              <w:rPr>
                <w:rFonts w:cstheme="minorHAnsi"/>
                <w:lang w:val="en-AU"/>
              </w:rPr>
              <w:t>4</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72F6E85" w14:textId="366DC525" w:rsidR="00F0168B" w:rsidRPr="00813EEB" w:rsidRDefault="00F0168B" w:rsidP="002B7C1B">
            <w:pPr>
              <w:spacing w:line="276" w:lineRule="auto"/>
              <w:rPr>
                <w:rFonts w:cstheme="minorHAnsi"/>
                <w:lang w:val="en-AU"/>
              </w:rPr>
            </w:pPr>
            <w:r w:rsidRPr="00813EEB">
              <w:rPr>
                <w:rFonts w:cstheme="minorHAnsi"/>
                <w:lang w:val="en-AU"/>
              </w:rPr>
              <w:t>1</w:t>
            </w:r>
            <w:r w:rsidR="003E79FA">
              <w:rPr>
                <w:rFonts w:cstheme="minorHAnsi"/>
                <w:lang w:val="en-AU"/>
              </w:rPr>
              <w:t xml:space="preserve"> </w:t>
            </w:r>
            <w:r w:rsidRPr="00813EEB">
              <w:rPr>
                <w:rFonts w:cstheme="minorHAnsi"/>
                <w:lang w:val="en-AU"/>
              </w:rPr>
              <w:t>mL</w:t>
            </w:r>
          </w:p>
        </w:tc>
      </w:tr>
      <w:tr w:rsidR="00F0168B" w:rsidRPr="00813EEB" w14:paraId="30D38F3D"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vAlign w:val="center"/>
          </w:tcPr>
          <w:p w14:paraId="3B55F647" w14:textId="77777777" w:rsidR="00F0168B" w:rsidRPr="00813EEB" w:rsidRDefault="00F0168B" w:rsidP="002B7C1B">
            <w:pPr>
              <w:spacing w:line="276" w:lineRule="auto"/>
              <w:rPr>
                <w:rFonts w:cstheme="minorHAnsi"/>
                <w:lang w:val="en-AU"/>
              </w:rPr>
            </w:pPr>
          </w:p>
        </w:tc>
        <w:tc>
          <w:tcPr>
            <w:tcW w:w="1518" w:type="pct"/>
            <w:tcBorders>
              <w:top w:val="single" w:sz="4" w:space="0" w:color="auto"/>
              <w:left w:val="single" w:sz="4" w:space="0" w:color="auto"/>
              <w:bottom w:val="single" w:sz="4" w:space="0" w:color="auto"/>
              <w:right w:val="single" w:sz="4" w:space="0" w:color="auto"/>
            </w:tcBorders>
            <w:vAlign w:val="center"/>
            <w:hideMark/>
          </w:tcPr>
          <w:p w14:paraId="6BD5CD65" w14:textId="77777777" w:rsidR="00F0168B" w:rsidRPr="00813EEB" w:rsidRDefault="00F0168B" w:rsidP="002B7C1B">
            <w:pPr>
              <w:spacing w:line="276" w:lineRule="auto"/>
              <w:rPr>
                <w:rFonts w:cstheme="minorHAnsi"/>
                <w:lang w:val="en-AU"/>
              </w:rPr>
            </w:pPr>
            <w:r w:rsidRPr="00813EEB">
              <w:rPr>
                <w:rFonts w:cstheme="minorHAnsi"/>
                <w:lang w:val="en-AU"/>
              </w:rPr>
              <w:t>WBCs</w:t>
            </w:r>
          </w:p>
        </w:tc>
        <w:tc>
          <w:tcPr>
            <w:tcW w:w="1038" w:type="pct"/>
            <w:tcBorders>
              <w:top w:val="single" w:sz="4" w:space="0" w:color="auto"/>
              <w:left w:val="single" w:sz="4" w:space="0" w:color="auto"/>
              <w:bottom w:val="single" w:sz="4" w:space="0" w:color="auto"/>
              <w:right w:val="single" w:sz="4" w:space="0" w:color="auto"/>
            </w:tcBorders>
            <w:vAlign w:val="center"/>
            <w:hideMark/>
          </w:tcPr>
          <w:p w14:paraId="04358019" w14:textId="77777777" w:rsidR="00F0168B" w:rsidRPr="00813EEB" w:rsidRDefault="00F0168B" w:rsidP="002B7C1B">
            <w:pPr>
              <w:spacing w:line="276" w:lineRule="auto"/>
              <w:rPr>
                <w:rFonts w:cstheme="minorHAnsi"/>
                <w:lang w:val="en-AU"/>
              </w:rPr>
            </w:pPr>
            <w:r w:rsidRPr="00813EEB">
              <w:rPr>
                <w:rFonts w:cstheme="minorHAnsi"/>
                <w:lang w:val="en-AU"/>
              </w:rPr>
              <w:t>3</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38001D9" w14:textId="2C30E44D" w:rsidR="00F0168B" w:rsidRPr="00813EEB" w:rsidRDefault="00F0168B" w:rsidP="002B7C1B">
            <w:pPr>
              <w:spacing w:line="276" w:lineRule="auto"/>
              <w:rPr>
                <w:rFonts w:cstheme="minorHAnsi"/>
                <w:lang w:val="en-AU"/>
              </w:rPr>
            </w:pPr>
            <w:r w:rsidRPr="00813EEB">
              <w:rPr>
                <w:rFonts w:cstheme="minorHAnsi"/>
                <w:lang w:val="en-AU"/>
              </w:rPr>
              <w:t>1</w:t>
            </w:r>
            <w:r w:rsidR="003E79FA">
              <w:rPr>
                <w:rFonts w:cstheme="minorHAnsi"/>
                <w:lang w:val="en-AU"/>
              </w:rPr>
              <w:t xml:space="preserve"> </w:t>
            </w:r>
            <w:r w:rsidRPr="00813EEB">
              <w:rPr>
                <w:rFonts w:cstheme="minorHAnsi"/>
                <w:lang w:val="en-AU"/>
              </w:rPr>
              <w:t>mL</w:t>
            </w:r>
          </w:p>
        </w:tc>
      </w:tr>
      <w:tr w:rsidR="00F0168B" w:rsidRPr="00813EEB" w14:paraId="153CE798"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vAlign w:val="center"/>
            <w:hideMark/>
          </w:tcPr>
          <w:p w14:paraId="3F2AF3D9" w14:textId="089E1C1E" w:rsidR="00F0168B" w:rsidRPr="00813EEB" w:rsidRDefault="00F0168B" w:rsidP="002B7C1B">
            <w:pPr>
              <w:spacing w:line="276" w:lineRule="auto"/>
              <w:rPr>
                <w:rFonts w:cstheme="minorHAnsi"/>
                <w:lang w:val="en-AU"/>
              </w:rPr>
            </w:pPr>
            <w:r w:rsidRPr="00813EEB">
              <w:rPr>
                <w:rFonts w:cstheme="minorHAnsi"/>
                <w:lang w:val="en-AU"/>
              </w:rPr>
              <w:t>1 x 5</w:t>
            </w:r>
            <w:r w:rsidR="003E79FA">
              <w:rPr>
                <w:rFonts w:cstheme="minorHAnsi"/>
                <w:lang w:val="en-AU"/>
              </w:rPr>
              <w:t xml:space="preserve"> </w:t>
            </w:r>
            <w:r w:rsidRPr="00813EEB">
              <w:rPr>
                <w:rFonts w:cstheme="minorHAnsi"/>
                <w:lang w:val="en-AU"/>
              </w:rPr>
              <w:t>mL  EDTA</w:t>
            </w:r>
          </w:p>
        </w:tc>
        <w:tc>
          <w:tcPr>
            <w:tcW w:w="1518" w:type="pct"/>
            <w:tcBorders>
              <w:top w:val="single" w:sz="4" w:space="0" w:color="auto"/>
              <w:left w:val="single" w:sz="4" w:space="0" w:color="auto"/>
              <w:bottom w:val="single" w:sz="4" w:space="0" w:color="auto"/>
              <w:right w:val="single" w:sz="4" w:space="0" w:color="auto"/>
            </w:tcBorders>
            <w:vAlign w:val="center"/>
            <w:hideMark/>
          </w:tcPr>
          <w:p w14:paraId="6DD999C1" w14:textId="77777777" w:rsidR="00F0168B" w:rsidRPr="00813EEB" w:rsidRDefault="00F0168B" w:rsidP="002B7C1B">
            <w:pPr>
              <w:spacing w:line="276" w:lineRule="auto"/>
              <w:rPr>
                <w:rFonts w:cstheme="minorHAnsi"/>
                <w:lang w:val="en-AU"/>
              </w:rPr>
            </w:pPr>
            <w:r w:rsidRPr="00813EEB">
              <w:rPr>
                <w:rFonts w:cstheme="minorHAnsi"/>
                <w:lang w:val="en-AU"/>
              </w:rPr>
              <w:t>Guthrie cards</w:t>
            </w:r>
          </w:p>
        </w:tc>
        <w:tc>
          <w:tcPr>
            <w:tcW w:w="1038" w:type="pct"/>
            <w:tcBorders>
              <w:top w:val="single" w:sz="4" w:space="0" w:color="auto"/>
              <w:left w:val="single" w:sz="4" w:space="0" w:color="auto"/>
              <w:bottom w:val="single" w:sz="4" w:space="0" w:color="auto"/>
              <w:right w:val="single" w:sz="4" w:space="0" w:color="auto"/>
            </w:tcBorders>
            <w:vAlign w:val="center"/>
            <w:hideMark/>
          </w:tcPr>
          <w:p w14:paraId="4FEC7DB8" w14:textId="77777777" w:rsidR="00F0168B" w:rsidRPr="00813EEB" w:rsidRDefault="00F0168B" w:rsidP="002B7C1B">
            <w:pPr>
              <w:spacing w:line="276" w:lineRule="auto"/>
              <w:rPr>
                <w:rFonts w:cstheme="minorHAnsi"/>
                <w:lang w:val="en-AU"/>
              </w:rPr>
            </w:pPr>
            <w:r w:rsidRPr="00813EEB">
              <w:rPr>
                <w:rFonts w:cstheme="minorHAnsi"/>
                <w:lang w:val="en-AU"/>
              </w:rPr>
              <w:t>2 cards</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E9FD861" w14:textId="6AB318DD" w:rsidR="00F0168B" w:rsidRPr="00813EEB" w:rsidRDefault="00F0168B" w:rsidP="002B7C1B">
            <w:pPr>
              <w:spacing w:line="276" w:lineRule="auto"/>
              <w:rPr>
                <w:rFonts w:cstheme="minorHAnsi"/>
                <w:lang w:val="en-AU"/>
              </w:rPr>
            </w:pPr>
            <w:r w:rsidRPr="00813EEB">
              <w:rPr>
                <w:rFonts w:cstheme="minorHAnsi"/>
                <w:lang w:val="en-AU"/>
              </w:rPr>
              <w:t>40</w:t>
            </w:r>
            <w:r w:rsidR="003E79FA">
              <w:rPr>
                <w:rFonts w:cstheme="minorHAnsi"/>
                <w:lang w:val="en-AU"/>
              </w:rPr>
              <w:t xml:space="preserve"> </w:t>
            </w:r>
            <w:r w:rsidRPr="00813EEB">
              <w:rPr>
                <w:rFonts w:cstheme="minorHAnsi"/>
                <w:lang w:val="en-AU"/>
              </w:rPr>
              <w:t>uL</w:t>
            </w:r>
          </w:p>
        </w:tc>
      </w:tr>
      <w:tr w:rsidR="00F0168B" w:rsidRPr="00813EEB" w14:paraId="6DE31C0B"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vAlign w:val="center"/>
          </w:tcPr>
          <w:p w14:paraId="5C8D6A57" w14:textId="77777777" w:rsidR="00F0168B" w:rsidRPr="00813EEB" w:rsidRDefault="00F0168B" w:rsidP="002B7C1B">
            <w:pPr>
              <w:spacing w:line="276" w:lineRule="auto"/>
              <w:rPr>
                <w:rFonts w:cstheme="minorHAnsi"/>
                <w:lang w:val="en-AU"/>
              </w:rPr>
            </w:pPr>
          </w:p>
        </w:tc>
        <w:tc>
          <w:tcPr>
            <w:tcW w:w="1518" w:type="pct"/>
            <w:tcBorders>
              <w:top w:val="single" w:sz="4" w:space="0" w:color="auto"/>
              <w:left w:val="single" w:sz="4" w:space="0" w:color="auto"/>
              <w:bottom w:val="single" w:sz="4" w:space="0" w:color="auto"/>
              <w:right w:val="single" w:sz="4" w:space="0" w:color="auto"/>
            </w:tcBorders>
            <w:vAlign w:val="center"/>
            <w:hideMark/>
          </w:tcPr>
          <w:p w14:paraId="38356752" w14:textId="77777777" w:rsidR="00F0168B" w:rsidRPr="00813EEB" w:rsidRDefault="00F0168B" w:rsidP="002B7C1B">
            <w:pPr>
              <w:spacing w:line="276" w:lineRule="auto"/>
              <w:rPr>
                <w:rFonts w:cstheme="minorHAnsi"/>
                <w:lang w:val="en-AU"/>
              </w:rPr>
            </w:pPr>
            <w:r w:rsidRPr="00813EEB">
              <w:rPr>
                <w:rFonts w:cstheme="minorHAnsi"/>
                <w:lang w:val="en-AU"/>
              </w:rPr>
              <w:t>Plasma</w:t>
            </w:r>
          </w:p>
        </w:tc>
        <w:tc>
          <w:tcPr>
            <w:tcW w:w="1038" w:type="pct"/>
            <w:tcBorders>
              <w:top w:val="single" w:sz="4" w:space="0" w:color="auto"/>
              <w:left w:val="single" w:sz="4" w:space="0" w:color="auto"/>
              <w:bottom w:val="single" w:sz="4" w:space="0" w:color="auto"/>
              <w:right w:val="single" w:sz="4" w:space="0" w:color="auto"/>
            </w:tcBorders>
            <w:vAlign w:val="center"/>
            <w:hideMark/>
          </w:tcPr>
          <w:p w14:paraId="73C974DA" w14:textId="77777777" w:rsidR="00F0168B" w:rsidRPr="00813EEB" w:rsidRDefault="00F0168B" w:rsidP="002B7C1B">
            <w:pPr>
              <w:spacing w:line="276" w:lineRule="auto"/>
              <w:rPr>
                <w:rFonts w:cstheme="minorHAnsi"/>
                <w:lang w:val="en-AU"/>
              </w:rPr>
            </w:pPr>
            <w:r w:rsidRPr="00813EEB">
              <w:rPr>
                <w:rFonts w:cstheme="minorHAnsi"/>
                <w:lang w:val="en-AU"/>
              </w:rPr>
              <w:t>4</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294B4A7" w14:textId="73CDCDA5" w:rsidR="00F0168B" w:rsidRPr="00813EEB" w:rsidRDefault="00F0168B" w:rsidP="002B7C1B">
            <w:pPr>
              <w:spacing w:line="276" w:lineRule="auto"/>
              <w:rPr>
                <w:rFonts w:cstheme="minorHAnsi"/>
                <w:lang w:val="en-AU"/>
              </w:rPr>
            </w:pPr>
            <w:r w:rsidRPr="00813EEB">
              <w:rPr>
                <w:rFonts w:cstheme="minorHAnsi"/>
                <w:lang w:val="en-AU"/>
              </w:rPr>
              <w:t>500</w:t>
            </w:r>
            <w:r w:rsidR="003E79FA">
              <w:rPr>
                <w:rFonts w:cstheme="minorHAnsi"/>
                <w:lang w:val="en-AU"/>
              </w:rPr>
              <w:t xml:space="preserve"> </w:t>
            </w:r>
            <w:r w:rsidRPr="00813EEB">
              <w:rPr>
                <w:rFonts w:cstheme="minorHAnsi"/>
                <w:lang w:val="en-AU"/>
              </w:rPr>
              <w:t>uL</w:t>
            </w:r>
          </w:p>
        </w:tc>
      </w:tr>
      <w:tr w:rsidR="00F0168B" w:rsidRPr="00813EEB" w14:paraId="60571806" w14:textId="77777777" w:rsidTr="00B21F2C">
        <w:trPr>
          <w:trHeight w:val="558"/>
        </w:trPr>
        <w:tc>
          <w:tcPr>
            <w:tcW w:w="1417" w:type="pct"/>
            <w:tcBorders>
              <w:top w:val="single" w:sz="4" w:space="0" w:color="auto"/>
              <w:left w:val="single" w:sz="4" w:space="0" w:color="auto"/>
              <w:bottom w:val="single" w:sz="4" w:space="0" w:color="auto"/>
              <w:right w:val="single" w:sz="4" w:space="0" w:color="auto"/>
            </w:tcBorders>
            <w:vAlign w:val="center"/>
          </w:tcPr>
          <w:p w14:paraId="3CB7C6BC" w14:textId="77777777" w:rsidR="00F0168B" w:rsidRPr="00813EEB" w:rsidRDefault="00F0168B" w:rsidP="002B7C1B">
            <w:pPr>
              <w:spacing w:line="276" w:lineRule="auto"/>
              <w:rPr>
                <w:rFonts w:cstheme="minorHAnsi"/>
                <w:lang w:val="en-AU"/>
              </w:rPr>
            </w:pPr>
          </w:p>
        </w:tc>
        <w:tc>
          <w:tcPr>
            <w:tcW w:w="1518" w:type="pct"/>
            <w:tcBorders>
              <w:top w:val="single" w:sz="4" w:space="0" w:color="auto"/>
              <w:left w:val="single" w:sz="4" w:space="0" w:color="auto"/>
              <w:bottom w:val="single" w:sz="4" w:space="0" w:color="auto"/>
              <w:right w:val="single" w:sz="4" w:space="0" w:color="auto"/>
            </w:tcBorders>
            <w:vAlign w:val="center"/>
            <w:hideMark/>
          </w:tcPr>
          <w:p w14:paraId="714FF422" w14:textId="77777777" w:rsidR="00F0168B" w:rsidRPr="00813EEB" w:rsidRDefault="00F0168B" w:rsidP="002B7C1B">
            <w:pPr>
              <w:spacing w:line="276" w:lineRule="auto"/>
              <w:rPr>
                <w:rFonts w:cstheme="minorHAnsi"/>
                <w:lang w:val="en-AU"/>
              </w:rPr>
            </w:pPr>
            <w:r w:rsidRPr="00813EEB">
              <w:rPr>
                <w:rFonts w:cstheme="minorHAnsi"/>
                <w:lang w:val="en-AU"/>
              </w:rPr>
              <w:t>Buffy coats</w:t>
            </w:r>
          </w:p>
        </w:tc>
        <w:tc>
          <w:tcPr>
            <w:tcW w:w="1038" w:type="pct"/>
            <w:tcBorders>
              <w:top w:val="single" w:sz="4" w:space="0" w:color="auto"/>
              <w:left w:val="single" w:sz="4" w:space="0" w:color="auto"/>
              <w:bottom w:val="single" w:sz="4" w:space="0" w:color="auto"/>
              <w:right w:val="single" w:sz="4" w:space="0" w:color="auto"/>
            </w:tcBorders>
            <w:vAlign w:val="center"/>
            <w:hideMark/>
          </w:tcPr>
          <w:p w14:paraId="2355B464" w14:textId="77777777" w:rsidR="00F0168B" w:rsidRPr="00813EEB" w:rsidRDefault="00F0168B" w:rsidP="002B7C1B">
            <w:pPr>
              <w:spacing w:line="276" w:lineRule="auto"/>
              <w:rPr>
                <w:rFonts w:cstheme="minorHAnsi"/>
                <w:lang w:val="en-AU"/>
              </w:rPr>
            </w:pPr>
            <w:r w:rsidRPr="00813EEB">
              <w:rPr>
                <w:rFonts w:cstheme="minorHAnsi"/>
                <w:lang w:val="en-AU"/>
              </w:rPr>
              <w:t>3</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9F61381" w14:textId="39571A58" w:rsidR="00F0168B" w:rsidRPr="00813EEB" w:rsidRDefault="00F0168B" w:rsidP="002B7C1B">
            <w:pPr>
              <w:spacing w:line="276" w:lineRule="auto"/>
              <w:rPr>
                <w:rFonts w:cstheme="minorHAnsi"/>
                <w:lang w:val="en-AU"/>
              </w:rPr>
            </w:pPr>
            <w:r w:rsidRPr="00813EEB">
              <w:rPr>
                <w:rFonts w:cstheme="minorHAnsi"/>
                <w:lang w:val="en-AU"/>
              </w:rPr>
              <w:t>500</w:t>
            </w:r>
            <w:r w:rsidR="003E79FA">
              <w:rPr>
                <w:rFonts w:cstheme="minorHAnsi"/>
                <w:lang w:val="en-AU"/>
              </w:rPr>
              <w:t xml:space="preserve"> </w:t>
            </w:r>
            <w:r w:rsidRPr="00813EEB">
              <w:rPr>
                <w:rFonts w:cstheme="minorHAnsi"/>
                <w:lang w:val="en-AU"/>
              </w:rPr>
              <w:t>uL</w:t>
            </w:r>
          </w:p>
        </w:tc>
      </w:tr>
    </w:tbl>
    <w:p w14:paraId="0841880F" w14:textId="77777777" w:rsidR="00F0168B" w:rsidRPr="00105F6D" w:rsidRDefault="00F0168B" w:rsidP="00F0168B">
      <w:pPr>
        <w:rPr>
          <w:rFonts w:cstheme="minorHAnsi"/>
        </w:rPr>
      </w:pPr>
    </w:p>
    <w:p w14:paraId="7A6EFE66" w14:textId="67E939EB" w:rsidR="00F0168B" w:rsidRDefault="00F0168B" w:rsidP="00F0168B">
      <w:pPr>
        <w:rPr>
          <w:rFonts w:cstheme="minorHAnsi"/>
        </w:rPr>
      </w:pPr>
      <w:r w:rsidRPr="00105F6D">
        <w:rPr>
          <w:rFonts w:cstheme="minorHAnsi"/>
        </w:rPr>
        <w:t>The above</w:t>
      </w:r>
      <w:r>
        <w:rPr>
          <w:rFonts w:cstheme="minorHAnsi"/>
        </w:rPr>
        <w:t xml:space="preserve"> recommended minimum</w:t>
      </w:r>
      <w:r w:rsidRPr="00105F6D">
        <w:rPr>
          <w:rFonts w:cstheme="minorHAnsi"/>
        </w:rPr>
        <w:t xml:space="preserve"> blood collection tube types an</w:t>
      </w:r>
      <w:r>
        <w:rPr>
          <w:rFonts w:cstheme="minorHAnsi"/>
        </w:rPr>
        <w:t>d volumes will provide a</w:t>
      </w:r>
      <w:r w:rsidRPr="00105F6D">
        <w:rPr>
          <w:rFonts w:cstheme="minorHAnsi"/>
        </w:rPr>
        <w:t xml:space="preserve"> range of end products sufficient to facilitate future research.  Blood will be required for germline DNA.</w:t>
      </w:r>
      <w:r>
        <w:rPr>
          <w:rFonts w:cstheme="minorHAnsi"/>
        </w:rPr>
        <w:t xml:space="preserve">  Note that genome-wide association</w:t>
      </w:r>
      <w:r w:rsidRPr="00105F6D">
        <w:rPr>
          <w:rFonts w:cstheme="minorHAnsi"/>
        </w:rPr>
        <w:t xml:space="preserve"> studies currently performed are primarily for ovarian cancer risk </w:t>
      </w:r>
      <w:r w:rsidR="00006070">
        <w:rPr>
          <w:rFonts w:cstheme="minorHAnsi"/>
        </w:rPr>
        <w:t xml:space="preserve">and </w:t>
      </w:r>
      <w:r w:rsidR="00B8135A">
        <w:rPr>
          <w:rFonts w:cstheme="minorHAnsi"/>
        </w:rPr>
        <w:t xml:space="preserve">potentially for </w:t>
      </w:r>
      <w:r w:rsidR="00006070">
        <w:rPr>
          <w:rFonts w:cstheme="minorHAnsi"/>
        </w:rPr>
        <w:t>pharmacogenomics.</w:t>
      </w:r>
      <w:r w:rsidRPr="00105F6D">
        <w:rPr>
          <w:rFonts w:cstheme="minorHAnsi"/>
        </w:rPr>
        <w:t xml:space="preserve">   </w:t>
      </w:r>
    </w:p>
    <w:p w14:paraId="511E73C9" w14:textId="26C832DF" w:rsidR="00342207" w:rsidRDefault="00342207" w:rsidP="00F0168B">
      <w:pPr>
        <w:rPr>
          <w:rFonts w:cstheme="minorHAnsi"/>
        </w:rPr>
      </w:pPr>
      <w:r>
        <w:rPr>
          <w:rFonts w:cstheme="minorHAnsi"/>
        </w:rPr>
        <w:t xml:space="preserve">Guthrie cards provide a back-up </w:t>
      </w:r>
      <w:r w:rsidR="00B8135A">
        <w:rPr>
          <w:rFonts w:cstheme="minorHAnsi"/>
        </w:rPr>
        <w:t>and can be used for QC</w:t>
      </w:r>
      <w:r>
        <w:rPr>
          <w:rFonts w:cstheme="minorHAnsi"/>
        </w:rPr>
        <w:t xml:space="preserve"> </w:t>
      </w:r>
      <w:r w:rsidR="00B8135A">
        <w:rPr>
          <w:rFonts w:cstheme="minorHAnsi"/>
        </w:rPr>
        <w:t xml:space="preserve">eg </w:t>
      </w:r>
      <w:r>
        <w:rPr>
          <w:rFonts w:cstheme="minorHAnsi"/>
        </w:rPr>
        <w:t>Short Tandem Repeat (STR) profiling.</w:t>
      </w:r>
    </w:p>
    <w:p w14:paraId="1E4883F4" w14:textId="27FE2DF0" w:rsidR="00472AF9" w:rsidRDefault="00472AF9" w:rsidP="00F0168B">
      <w:pPr>
        <w:rPr>
          <w:rFonts w:cstheme="minorHAnsi"/>
        </w:rPr>
      </w:pPr>
      <w:r>
        <w:rPr>
          <w:rFonts w:cstheme="minorHAnsi"/>
        </w:rPr>
        <w:t>The future establishment of permanent lymphoblastoid cell lines (LCLs) would be invaluabl</w:t>
      </w:r>
      <w:r w:rsidR="00342207">
        <w:rPr>
          <w:rFonts w:cstheme="minorHAnsi"/>
        </w:rPr>
        <w:t>e for future research</w:t>
      </w:r>
      <w:r>
        <w:rPr>
          <w:rFonts w:cstheme="minorHAnsi"/>
        </w:rPr>
        <w:t>.</w:t>
      </w:r>
      <w:r w:rsidR="00342207">
        <w:rPr>
          <w:rFonts w:cstheme="minorHAnsi"/>
        </w:rPr>
        <w:t xml:space="preserve">  This could potentially be outsourced to another entity eg. </w:t>
      </w:r>
      <w:r w:rsidR="00B8135A">
        <w:rPr>
          <w:rFonts w:cstheme="minorHAnsi"/>
        </w:rPr>
        <w:t>k</w:t>
      </w:r>
      <w:r w:rsidR="00342207">
        <w:rPr>
          <w:rFonts w:cstheme="minorHAnsi"/>
        </w:rPr>
        <w:t>ConFab</w:t>
      </w:r>
      <w:r w:rsidR="00B8135A">
        <w:rPr>
          <w:rFonts w:cstheme="minorHAnsi"/>
        </w:rPr>
        <w:t xml:space="preserve"> or NSWSB</w:t>
      </w:r>
      <w:r w:rsidR="00342207">
        <w:rPr>
          <w:rFonts w:cstheme="minorHAnsi"/>
        </w:rPr>
        <w:t>.  Propose that feasibility for this processing is considered at a future date.</w:t>
      </w:r>
    </w:p>
    <w:p w14:paraId="51E8920E" w14:textId="0ABCD5D7" w:rsidR="005A4CD8" w:rsidRPr="00B21F2C" w:rsidRDefault="005A4CD8" w:rsidP="00B21F2C">
      <w:pPr>
        <w:rPr>
          <w:rFonts w:cstheme="minorHAnsi"/>
          <w:b/>
        </w:rPr>
      </w:pPr>
      <w:r w:rsidRPr="00B21F2C">
        <w:rPr>
          <w:rFonts w:cstheme="minorHAnsi"/>
          <w:b/>
        </w:rPr>
        <w:lastRenderedPageBreak/>
        <w:t>Access to FFPE blocks for TMA construction</w:t>
      </w:r>
    </w:p>
    <w:p w14:paraId="725EA8A7" w14:textId="77777777" w:rsidR="005A4CD8" w:rsidRDefault="005A4CD8" w:rsidP="005A4CD8">
      <w:pPr>
        <w:rPr>
          <w:rFonts w:cstheme="minorHAnsi"/>
        </w:rPr>
      </w:pPr>
      <w:r>
        <w:rPr>
          <w:rFonts w:cstheme="minorHAnsi"/>
        </w:rPr>
        <w:t xml:space="preserve">The construction of trial cohort TMAs will facilitate efficient IHC studies.  </w:t>
      </w:r>
    </w:p>
    <w:p w14:paraId="3478F7F1" w14:textId="77777777" w:rsidR="005A4CD8" w:rsidRDefault="005A4CD8" w:rsidP="005A4CD8">
      <w:pPr>
        <w:rPr>
          <w:rFonts w:cstheme="minorHAnsi"/>
        </w:rPr>
      </w:pPr>
      <w:r>
        <w:rPr>
          <w:rFonts w:cstheme="minorHAnsi"/>
        </w:rPr>
        <w:t>Retention of the FFPE block would be ideal for full face sectioning to allow for heterogeneity and/or DNA/RNA extraction.</w:t>
      </w:r>
    </w:p>
    <w:p w14:paraId="1FCCBA56" w14:textId="29610F88" w:rsidR="005A4CD8" w:rsidRDefault="005A4CD8" w:rsidP="005A4CD8">
      <w:pPr>
        <w:rPr>
          <w:rFonts w:cstheme="minorHAnsi"/>
        </w:rPr>
      </w:pPr>
      <w:r>
        <w:rPr>
          <w:rFonts w:cstheme="minorHAnsi"/>
        </w:rPr>
        <w:t xml:space="preserve">Inability to acquire block should not exclude trial participation, provided adequate tissue exists to meet trial requirements (eg. 20x </w:t>
      </w:r>
      <w:r w:rsidR="00453196">
        <w:rPr>
          <w:rFonts w:cstheme="minorHAnsi"/>
        </w:rPr>
        <w:t xml:space="preserve">unstained slides </w:t>
      </w:r>
      <w:r>
        <w:rPr>
          <w:rFonts w:cstheme="minorHAnsi"/>
        </w:rPr>
        <w:t>provided instead of block).</w:t>
      </w:r>
    </w:p>
    <w:p w14:paraId="6E455232" w14:textId="2B678A2B" w:rsidR="007E72F4" w:rsidRDefault="005A4CD8" w:rsidP="005A4CD8">
      <w:pPr>
        <w:rPr>
          <w:rFonts w:cstheme="minorHAnsi"/>
        </w:rPr>
      </w:pPr>
      <w:r w:rsidRPr="00C2735C">
        <w:rPr>
          <w:rFonts w:cstheme="minorHAnsi"/>
          <w:i/>
        </w:rPr>
        <w:t xml:space="preserve">Not all pathology laboratories will be </w:t>
      </w:r>
      <w:r>
        <w:rPr>
          <w:rFonts w:cstheme="minorHAnsi"/>
          <w:i/>
        </w:rPr>
        <w:t xml:space="preserve">able </w:t>
      </w:r>
      <w:r w:rsidRPr="00C2735C">
        <w:rPr>
          <w:rFonts w:cstheme="minorHAnsi"/>
          <w:i/>
        </w:rPr>
        <w:t>to release the blocks.</w:t>
      </w:r>
      <w:r>
        <w:rPr>
          <w:rFonts w:cstheme="minorHAnsi"/>
        </w:rPr>
        <w:t xml:space="preserve">  </w:t>
      </w:r>
      <w:r w:rsidR="007E72F4">
        <w:rPr>
          <w:rFonts w:cstheme="minorHAnsi"/>
        </w:rPr>
        <w:t>The Canadian Cancer Trials Group (CCTG) Tissue Bank developed an SOP with pathologists to send to the pathology department when requesting FFPE block/s.  This SOP is akin to an MTA but less legalistic and provides the pathology department reassurance that approved procedures will be undertaken.  Stipulations are included such as the number of cases that are requested, when they are required, duration of block retention and minimum/maximal guidelines for cutting/ coring.</w:t>
      </w:r>
    </w:p>
    <w:p w14:paraId="0C152A4B" w14:textId="1F5E5B92" w:rsidR="005A4CD8" w:rsidRDefault="007E72F4" w:rsidP="005A4CD8">
      <w:pPr>
        <w:rPr>
          <w:rFonts w:cstheme="minorHAnsi"/>
        </w:rPr>
      </w:pPr>
      <w:r>
        <w:rPr>
          <w:rFonts w:cstheme="minorHAnsi"/>
        </w:rPr>
        <w:t>If the above</w:t>
      </w:r>
      <w:r w:rsidR="00B70262">
        <w:rPr>
          <w:rFonts w:cstheme="minorHAnsi"/>
        </w:rPr>
        <w:t>-</w:t>
      </w:r>
      <w:r>
        <w:rPr>
          <w:rFonts w:cstheme="minorHAnsi"/>
        </w:rPr>
        <w:t xml:space="preserve">mentioned SOP was not sufficient for block provision, </w:t>
      </w:r>
      <w:r w:rsidR="005A4CD8">
        <w:rPr>
          <w:rFonts w:cstheme="minorHAnsi"/>
        </w:rPr>
        <w:t xml:space="preserve">TMAs could </w:t>
      </w:r>
      <w:r>
        <w:rPr>
          <w:rFonts w:cstheme="minorHAnsi"/>
        </w:rPr>
        <w:t xml:space="preserve">potentially </w:t>
      </w:r>
      <w:r w:rsidR="005A4CD8">
        <w:rPr>
          <w:rFonts w:cstheme="minorHAnsi"/>
        </w:rPr>
        <w:t>be made in-house by pathology department for a fee</w:t>
      </w:r>
      <w:r>
        <w:rPr>
          <w:rFonts w:cstheme="minorHAnsi"/>
        </w:rPr>
        <w:t xml:space="preserve">. However, </w:t>
      </w:r>
      <w:r w:rsidR="005A4CD8">
        <w:rPr>
          <w:rFonts w:cstheme="minorHAnsi"/>
        </w:rPr>
        <w:t>not all pathology departments will have TMA construction capability.  However, all Anat</w:t>
      </w:r>
      <w:r w:rsidR="00782EDF">
        <w:rPr>
          <w:rFonts w:cstheme="minorHAnsi"/>
        </w:rPr>
        <w:t>omical</w:t>
      </w:r>
      <w:r w:rsidR="005A4CD8">
        <w:rPr>
          <w:rFonts w:cstheme="minorHAnsi"/>
        </w:rPr>
        <w:t xml:space="preserve"> Path</w:t>
      </w:r>
      <w:r w:rsidR="00782EDF">
        <w:rPr>
          <w:rFonts w:cstheme="minorHAnsi"/>
        </w:rPr>
        <w:t>ology</w:t>
      </w:r>
      <w:r w:rsidR="005A4CD8">
        <w:rPr>
          <w:rFonts w:cstheme="minorHAnsi"/>
        </w:rPr>
        <w:t xml:space="preserve"> departments will have a punch (for IHC control tissue blocks) that could be used to provide cores to TR-ANZGOG for TMA construction, where adequate tumour tissue exists, at the pathologist’s discretion.       </w:t>
      </w:r>
    </w:p>
    <w:p w14:paraId="3F2E3FBE" w14:textId="5A6098FB" w:rsidR="005A4CD8" w:rsidRDefault="005A4CD8" w:rsidP="005A4CD8">
      <w:pPr>
        <w:rPr>
          <w:rFonts w:cstheme="minorHAnsi"/>
        </w:rPr>
      </w:pPr>
      <w:r w:rsidRPr="004D4984">
        <w:rPr>
          <w:rFonts w:cstheme="minorHAnsi"/>
        </w:rPr>
        <w:t>FFPE blocks</w:t>
      </w:r>
      <w:r w:rsidR="00006070">
        <w:rPr>
          <w:rFonts w:cstheme="minorHAnsi"/>
        </w:rPr>
        <w:t xml:space="preserve"> will be </w:t>
      </w:r>
      <w:r w:rsidRPr="004D4984">
        <w:rPr>
          <w:rFonts w:cstheme="minorHAnsi"/>
        </w:rPr>
        <w:t>provided</w:t>
      </w:r>
      <w:r w:rsidR="00006070">
        <w:rPr>
          <w:rFonts w:cstheme="minorHAnsi"/>
        </w:rPr>
        <w:t xml:space="preserve"> to TR-ANZGOG in a potentially identifiable format.  However, the sections will go to researchers in a coded format only.</w:t>
      </w:r>
      <w:r w:rsidRPr="004D4984">
        <w:rPr>
          <w:rFonts w:cstheme="minorHAnsi"/>
        </w:rPr>
        <w:t xml:space="preserve"> </w:t>
      </w:r>
      <w:r w:rsidR="00006070">
        <w:rPr>
          <w:rFonts w:cstheme="minorHAnsi"/>
        </w:rPr>
        <w:t xml:space="preserve"> I</w:t>
      </w:r>
      <w:r>
        <w:rPr>
          <w:rFonts w:cstheme="minorHAnsi"/>
        </w:rPr>
        <w:t xml:space="preserve">f </w:t>
      </w:r>
      <w:r w:rsidRPr="004D4984">
        <w:rPr>
          <w:rFonts w:cstheme="minorHAnsi"/>
        </w:rPr>
        <w:t xml:space="preserve">blocks </w:t>
      </w:r>
      <w:r w:rsidR="00006070">
        <w:rPr>
          <w:rFonts w:cstheme="minorHAnsi"/>
        </w:rPr>
        <w:t>wer</w:t>
      </w:r>
      <w:r>
        <w:rPr>
          <w:rFonts w:cstheme="minorHAnsi"/>
        </w:rPr>
        <w:t>e</w:t>
      </w:r>
      <w:r w:rsidR="00006070">
        <w:rPr>
          <w:rFonts w:cstheme="minorHAnsi"/>
        </w:rPr>
        <w:t xml:space="preserve"> to be</w:t>
      </w:r>
      <w:r w:rsidRPr="004D4984">
        <w:rPr>
          <w:rFonts w:cstheme="minorHAnsi"/>
        </w:rPr>
        <w:t xml:space="preserve"> de-identified </w:t>
      </w:r>
      <w:r>
        <w:rPr>
          <w:rFonts w:cstheme="minorHAnsi"/>
        </w:rPr>
        <w:t xml:space="preserve">by removing the patient surname, there is both a risk (and added workload to the pathology department) in reliably re-labelling with surname </w:t>
      </w:r>
      <w:r w:rsidRPr="004D4984">
        <w:rPr>
          <w:rFonts w:cstheme="minorHAnsi"/>
        </w:rPr>
        <w:t>upon re</w:t>
      </w:r>
      <w:r>
        <w:rPr>
          <w:rFonts w:cstheme="minorHAnsi"/>
        </w:rPr>
        <w:t>turn</w:t>
      </w:r>
      <w:r w:rsidR="00006070">
        <w:rPr>
          <w:rFonts w:cstheme="minorHAnsi"/>
        </w:rPr>
        <w:t xml:space="preserve">.  Site coordinators will be provided with an SOP instructing to affix a label of the trial number over the name printed on the FFPE block.  </w:t>
      </w:r>
    </w:p>
    <w:p w14:paraId="1687B1A5" w14:textId="221FDB8E" w:rsidR="00006070" w:rsidRPr="00C2735C" w:rsidRDefault="00006070" w:rsidP="005A4CD8">
      <w:pPr>
        <w:rPr>
          <w:rFonts w:cstheme="minorHAnsi"/>
        </w:rPr>
      </w:pPr>
      <w:r>
        <w:rPr>
          <w:rFonts w:cstheme="minorHAnsi"/>
        </w:rPr>
        <w:t>NOTE: Consent must include that TR-ANZGOG laboratory staff may see patient identifiable information but researchers will only receive coded information.</w:t>
      </w:r>
    </w:p>
    <w:p w14:paraId="363AA25D" w14:textId="1550C866" w:rsidR="005A4CD8" w:rsidRDefault="005A4CD8" w:rsidP="005A4CD8">
      <w:pPr>
        <w:pStyle w:val="ListParagraph"/>
        <w:spacing w:after="160" w:line="259" w:lineRule="auto"/>
        <w:ind w:left="360"/>
        <w:rPr>
          <w:rFonts w:asciiTheme="minorHAnsi" w:hAnsiTheme="minorHAnsi" w:cstheme="minorHAnsi"/>
          <w:b/>
          <w:i/>
          <w:sz w:val="22"/>
          <w:szCs w:val="22"/>
        </w:rPr>
      </w:pPr>
    </w:p>
    <w:p w14:paraId="10537DE8" w14:textId="164954E3" w:rsidR="00CF65CA" w:rsidRDefault="00CF65CA" w:rsidP="005A4CD8">
      <w:pPr>
        <w:pStyle w:val="ListParagraph"/>
        <w:spacing w:after="160" w:line="259" w:lineRule="auto"/>
        <w:ind w:left="360"/>
        <w:rPr>
          <w:rFonts w:asciiTheme="minorHAnsi" w:hAnsiTheme="minorHAnsi" w:cstheme="minorHAnsi"/>
          <w:b/>
          <w:i/>
          <w:sz w:val="22"/>
          <w:szCs w:val="22"/>
        </w:rPr>
      </w:pPr>
    </w:p>
    <w:p w14:paraId="382F9001" w14:textId="77777777" w:rsidR="005826ED" w:rsidRPr="005826ED" w:rsidRDefault="005826ED" w:rsidP="005826ED">
      <w:pPr>
        <w:pStyle w:val="ListParagraph"/>
        <w:spacing w:after="160" w:line="259" w:lineRule="auto"/>
        <w:ind w:left="360"/>
        <w:rPr>
          <w:rFonts w:asciiTheme="minorHAnsi" w:hAnsiTheme="minorHAnsi" w:cstheme="minorHAnsi"/>
          <w:b/>
          <w:sz w:val="22"/>
          <w:szCs w:val="22"/>
        </w:rPr>
      </w:pPr>
    </w:p>
    <w:p w14:paraId="7C713721" w14:textId="77777777" w:rsidR="00F0168B" w:rsidRPr="00C2735C" w:rsidRDefault="00F0168B" w:rsidP="00F0168B">
      <w:pPr>
        <w:rPr>
          <w:rFonts w:cstheme="minorHAnsi"/>
        </w:rPr>
      </w:pPr>
    </w:p>
    <w:p w14:paraId="611C192E" w14:textId="77A3F8E6" w:rsidR="00896D57" w:rsidRDefault="00896D57" w:rsidP="005826ED">
      <w:pPr>
        <w:rPr>
          <w:rFonts w:cstheme="minorHAnsi"/>
        </w:rPr>
      </w:pPr>
    </w:p>
    <w:p w14:paraId="4CC5E579" w14:textId="77777777" w:rsidR="00896D57" w:rsidRPr="00896D57" w:rsidRDefault="00896D57" w:rsidP="00896D57">
      <w:pPr>
        <w:rPr>
          <w:rFonts w:cstheme="minorHAnsi"/>
        </w:rPr>
      </w:pPr>
    </w:p>
    <w:p w14:paraId="4B205FC8" w14:textId="77777777" w:rsidR="00896D57" w:rsidRPr="00896D57" w:rsidRDefault="00896D57" w:rsidP="00896D57">
      <w:pPr>
        <w:rPr>
          <w:rFonts w:cstheme="minorHAnsi"/>
        </w:rPr>
      </w:pPr>
    </w:p>
    <w:p w14:paraId="18567B96" w14:textId="77777777" w:rsidR="00896D57" w:rsidRPr="00896D57" w:rsidRDefault="00896D57" w:rsidP="00896D57">
      <w:pPr>
        <w:rPr>
          <w:rFonts w:cstheme="minorHAnsi"/>
        </w:rPr>
      </w:pPr>
    </w:p>
    <w:p w14:paraId="6D003DDD" w14:textId="77777777" w:rsidR="00896D57" w:rsidRPr="00896D57" w:rsidRDefault="00896D57" w:rsidP="00896D57">
      <w:pPr>
        <w:rPr>
          <w:rFonts w:cstheme="minorHAnsi"/>
        </w:rPr>
      </w:pPr>
    </w:p>
    <w:p w14:paraId="13DBCE38" w14:textId="77777777" w:rsidR="00896D57" w:rsidRPr="00896D57" w:rsidRDefault="00896D57" w:rsidP="00896D57">
      <w:pPr>
        <w:rPr>
          <w:rFonts w:cstheme="minorHAnsi"/>
        </w:rPr>
      </w:pPr>
    </w:p>
    <w:p w14:paraId="2454BE2E" w14:textId="77777777" w:rsidR="00896D57" w:rsidRPr="00896D57" w:rsidRDefault="00896D57" w:rsidP="00896D57">
      <w:pPr>
        <w:rPr>
          <w:rFonts w:cstheme="minorHAnsi"/>
        </w:rPr>
      </w:pPr>
    </w:p>
    <w:p w14:paraId="689092E7" w14:textId="45B0829C" w:rsidR="00496E58" w:rsidRDefault="00896D57" w:rsidP="00B21F2C">
      <w:pPr>
        <w:tabs>
          <w:tab w:val="left" w:pos="6180"/>
        </w:tabs>
        <w:rPr>
          <w:rFonts w:cstheme="minorHAnsi"/>
        </w:rPr>
      </w:pPr>
      <w:r>
        <w:rPr>
          <w:rFonts w:cstheme="minorHAnsi"/>
        </w:rPr>
        <w:tab/>
      </w:r>
    </w:p>
    <w:p w14:paraId="4280F39D" w14:textId="1735C27C" w:rsidR="00896D57" w:rsidRPr="00A854B5" w:rsidRDefault="00896D57" w:rsidP="00896D57">
      <w:pPr>
        <w:spacing w:line="276" w:lineRule="auto"/>
        <w:rPr>
          <w:rFonts w:cstheme="minorHAnsi"/>
        </w:rPr>
      </w:pPr>
      <w:r w:rsidRPr="00A346BB">
        <w:rPr>
          <w:rFonts w:cstheme="minorHAnsi"/>
          <w:b/>
          <w:bCs/>
        </w:rPr>
        <w:lastRenderedPageBreak/>
        <w:t>BIOSPECIMEN ACQUISITION, PROCESSING AND STORAGE</w:t>
      </w:r>
      <w:r w:rsidR="00944B50">
        <w:rPr>
          <w:rFonts w:cstheme="minorHAnsi"/>
          <w:b/>
          <w:bCs/>
        </w:rPr>
        <w:t xml:space="preserve"> GUIDELINES</w:t>
      </w:r>
    </w:p>
    <w:p w14:paraId="680E9E48" w14:textId="77777777" w:rsidR="00896D57" w:rsidRPr="00A854B5" w:rsidRDefault="00896D57" w:rsidP="00896D57">
      <w:pPr>
        <w:spacing w:line="276" w:lineRule="auto"/>
        <w:rPr>
          <w:rFonts w:cstheme="minorHAnsi"/>
          <w:lang w:val="en-CA"/>
        </w:rPr>
      </w:pPr>
      <w:r w:rsidRPr="00A854B5">
        <w:rPr>
          <w:rFonts w:cstheme="minorHAnsi"/>
          <w:lang w:val="en-CA"/>
        </w:rPr>
        <w:t>All biospecimens will be collected and stored in accordance with the ISBER best practices and G</w:t>
      </w:r>
      <w:r>
        <w:rPr>
          <w:rFonts w:cstheme="minorHAnsi"/>
          <w:lang w:val="en-CA"/>
        </w:rPr>
        <w:t xml:space="preserve">ood </w:t>
      </w:r>
      <w:r w:rsidRPr="00A854B5">
        <w:rPr>
          <w:rFonts w:cstheme="minorHAnsi"/>
          <w:lang w:val="en-CA"/>
        </w:rPr>
        <w:t>C</w:t>
      </w:r>
      <w:r>
        <w:rPr>
          <w:rFonts w:cstheme="minorHAnsi"/>
          <w:lang w:val="en-CA"/>
        </w:rPr>
        <w:t xml:space="preserve">linical </w:t>
      </w:r>
      <w:r w:rsidRPr="00A854B5">
        <w:rPr>
          <w:rFonts w:cstheme="minorHAnsi"/>
          <w:lang w:val="en-CA"/>
        </w:rPr>
        <w:t>P</w:t>
      </w:r>
      <w:r>
        <w:rPr>
          <w:rFonts w:cstheme="minorHAnsi"/>
          <w:lang w:val="en-CA"/>
        </w:rPr>
        <w:t>ractice</w:t>
      </w:r>
      <w:r w:rsidRPr="00A854B5">
        <w:rPr>
          <w:rFonts w:cstheme="minorHAnsi"/>
          <w:lang w:val="en-CA"/>
        </w:rPr>
        <w:t>/G</w:t>
      </w:r>
      <w:r>
        <w:rPr>
          <w:rFonts w:cstheme="minorHAnsi"/>
          <w:lang w:val="en-CA"/>
        </w:rPr>
        <w:t xml:space="preserve">ood </w:t>
      </w:r>
      <w:r w:rsidRPr="00A854B5">
        <w:rPr>
          <w:rFonts w:cstheme="minorHAnsi"/>
          <w:lang w:val="en-CA"/>
        </w:rPr>
        <w:t>C</w:t>
      </w:r>
      <w:r>
        <w:rPr>
          <w:rFonts w:cstheme="minorHAnsi"/>
          <w:lang w:val="en-CA"/>
        </w:rPr>
        <w:t xml:space="preserve">linical </w:t>
      </w:r>
      <w:r w:rsidRPr="00A854B5">
        <w:rPr>
          <w:rFonts w:cstheme="minorHAnsi"/>
          <w:lang w:val="en-CA"/>
        </w:rPr>
        <w:t>L</w:t>
      </w:r>
      <w:r>
        <w:rPr>
          <w:rFonts w:cstheme="minorHAnsi"/>
          <w:lang w:val="en-CA"/>
        </w:rPr>
        <w:t xml:space="preserve">aboratory </w:t>
      </w:r>
      <w:r w:rsidRPr="00A854B5">
        <w:rPr>
          <w:rFonts w:cstheme="minorHAnsi"/>
          <w:lang w:val="en-CA"/>
        </w:rPr>
        <w:t>P</w:t>
      </w:r>
      <w:r>
        <w:rPr>
          <w:rFonts w:cstheme="minorHAnsi"/>
          <w:lang w:val="en-CA"/>
        </w:rPr>
        <w:t>ractice</w:t>
      </w:r>
      <w:r w:rsidRPr="00A854B5">
        <w:rPr>
          <w:rFonts w:cstheme="minorHAnsi"/>
          <w:lang w:val="en-CA"/>
        </w:rPr>
        <w:t xml:space="preserve"> regulations and guidelines.. </w:t>
      </w:r>
    </w:p>
    <w:p w14:paraId="13DB1E9B" w14:textId="38453CA8" w:rsidR="00896D57" w:rsidRPr="0089678E" w:rsidRDefault="00896D57" w:rsidP="00896D57">
      <w:pPr>
        <w:spacing w:line="276" w:lineRule="auto"/>
        <w:rPr>
          <w:rFonts w:cstheme="minorHAnsi"/>
          <w:i/>
          <w:lang w:val="en-AU"/>
        </w:rPr>
      </w:pPr>
      <w:r w:rsidRPr="00A854B5">
        <w:rPr>
          <w:rFonts w:cstheme="minorHAnsi"/>
          <w:lang w:val="en-CA"/>
        </w:rPr>
        <w:t>If the participant consents to providing blood biospecimen</w:t>
      </w:r>
      <w:r>
        <w:rPr>
          <w:rFonts w:cstheme="minorHAnsi"/>
          <w:lang w:val="en-CA"/>
        </w:rPr>
        <w:t>/s</w:t>
      </w:r>
      <w:r w:rsidRPr="00A854B5">
        <w:rPr>
          <w:rFonts w:cstheme="minorHAnsi"/>
          <w:lang w:val="en-CA"/>
        </w:rPr>
        <w:t xml:space="preserve"> </w:t>
      </w:r>
      <w:r>
        <w:rPr>
          <w:rFonts w:cstheme="minorHAnsi"/>
          <w:lang w:val="en-CA"/>
        </w:rPr>
        <w:t>for</w:t>
      </w:r>
      <w:r w:rsidRPr="00A854B5">
        <w:rPr>
          <w:rFonts w:cstheme="minorHAnsi"/>
          <w:lang w:val="en-CA"/>
        </w:rPr>
        <w:t xml:space="preserve"> the </w:t>
      </w:r>
      <w:r>
        <w:rPr>
          <w:rFonts w:cstheme="minorHAnsi"/>
          <w:lang w:val="en-CA"/>
        </w:rPr>
        <w:t xml:space="preserve">ANZGOG-supported clinical trial as outlined in the Participant Information Sheet and Consent Form, </w:t>
      </w:r>
      <w:r w:rsidRPr="00A854B5">
        <w:rPr>
          <w:rFonts w:cstheme="minorHAnsi"/>
          <w:lang w:val="en-CA"/>
        </w:rPr>
        <w:t>arrangements will be made for the collection</w:t>
      </w:r>
      <w:r>
        <w:rPr>
          <w:rFonts w:cstheme="minorHAnsi"/>
          <w:lang w:val="en-CA"/>
        </w:rPr>
        <w:t xml:space="preserve"> through standard trial procedures</w:t>
      </w:r>
      <w:r w:rsidRPr="00A854B5">
        <w:rPr>
          <w:rFonts w:cstheme="minorHAnsi"/>
          <w:lang w:val="en-CA"/>
        </w:rPr>
        <w:t>.</w:t>
      </w:r>
      <w:r>
        <w:rPr>
          <w:rFonts w:cstheme="minorHAnsi"/>
          <w:lang w:val="en-CA"/>
        </w:rPr>
        <w:t xml:space="preserve">  </w:t>
      </w:r>
      <w:r>
        <w:rPr>
          <w:rFonts w:cstheme="minorHAnsi"/>
        </w:rPr>
        <w:t>The collection of additional, dedicated TR-ANZGOG samples may only be required where samples that are collected as part of the TR-ANZGOG-supported clinical trial would not be available for researchers</w:t>
      </w:r>
      <w:r w:rsidRPr="004704B1">
        <w:rPr>
          <w:rFonts w:cstheme="minorHAnsi"/>
        </w:rPr>
        <w:t xml:space="preserve"> </w:t>
      </w:r>
      <w:r>
        <w:rPr>
          <w:rFonts w:cstheme="minorHAnsi"/>
        </w:rPr>
        <w:t xml:space="preserve">following completion of the trial and associated sub-studies. Case-specific assessment may be required.  </w:t>
      </w:r>
    </w:p>
    <w:p w14:paraId="5831C9BE" w14:textId="77777777" w:rsidR="00896D57" w:rsidRDefault="00896D57" w:rsidP="00896D57">
      <w:pPr>
        <w:spacing w:line="276" w:lineRule="auto"/>
        <w:rPr>
          <w:rFonts w:cstheme="minorHAnsi"/>
          <w:lang w:val="en-CA"/>
        </w:rPr>
      </w:pPr>
      <w:r w:rsidRPr="00A854B5">
        <w:rPr>
          <w:rFonts w:cstheme="minorHAnsi"/>
          <w:lang w:val="en-CA"/>
        </w:rPr>
        <w:t xml:space="preserve">It will be the Pathologist’s decision (or their designate) whether </w:t>
      </w:r>
      <w:r>
        <w:rPr>
          <w:rFonts w:cstheme="minorHAnsi"/>
          <w:lang w:val="en-CA"/>
        </w:rPr>
        <w:t xml:space="preserve">formalin-fixed paraffin-embedded (FFPE) </w:t>
      </w:r>
      <w:r w:rsidRPr="00A854B5">
        <w:rPr>
          <w:rFonts w:cstheme="minorHAnsi"/>
          <w:lang w:val="en-CA"/>
        </w:rPr>
        <w:t xml:space="preserve">tissue may be allocated to </w:t>
      </w:r>
      <w:r>
        <w:rPr>
          <w:rFonts w:cstheme="minorHAnsi"/>
          <w:lang w:val="en-CA"/>
        </w:rPr>
        <w:t xml:space="preserve">TR-ANZGOG for the creation of Tissue MicroArrays (TMAs). </w:t>
      </w:r>
    </w:p>
    <w:p w14:paraId="09156906" w14:textId="77777777" w:rsidR="00896D57" w:rsidRPr="00A854B5" w:rsidRDefault="00896D57" w:rsidP="00896D57">
      <w:pPr>
        <w:spacing w:line="276" w:lineRule="auto"/>
        <w:rPr>
          <w:rFonts w:cstheme="minorHAnsi"/>
          <w:lang w:val="en-CA"/>
        </w:rPr>
      </w:pPr>
      <w:r>
        <w:rPr>
          <w:rFonts w:cstheme="minorHAnsi"/>
          <w:lang w:val="en-CA"/>
        </w:rPr>
        <w:t xml:space="preserve">Processing of biospecimens will be in accordance with the TR-ANZGOG Biospecimen Processing Manual unless otherwise agreed upon between the TR-ANZGOG Trial Support and Sample Access Committee and the trial principal investigator at the time of trial protocol development. </w:t>
      </w:r>
    </w:p>
    <w:p w14:paraId="156ACD58" w14:textId="77777777" w:rsidR="00896D57" w:rsidRDefault="00896D57" w:rsidP="00896D57">
      <w:pPr>
        <w:spacing w:line="276" w:lineRule="auto"/>
        <w:rPr>
          <w:rFonts w:cstheme="minorHAnsi"/>
          <w:lang w:val="en-CA"/>
        </w:rPr>
      </w:pPr>
      <w:r>
        <w:rPr>
          <w:rFonts w:cstheme="minorHAnsi"/>
          <w:lang w:val="en-CA"/>
        </w:rPr>
        <w:t>Specimens will be labelled in a re-identifiable manner which will include the unique trial study number and a unique TR-ANZGOG identification number.  Specimens will be coded in a consistent manner to indicate the source biospecimen (eg.. EDTA, ACD) and product (eg. white blood cells, serum).  Labelling guidelines are included in the Biospecimen Processing Manual.</w:t>
      </w:r>
    </w:p>
    <w:p w14:paraId="3D546B5B" w14:textId="77777777" w:rsidR="00896D57" w:rsidRPr="00A854B5" w:rsidRDefault="00896D57" w:rsidP="00896D57">
      <w:pPr>
        <w:spacing w:line="276" w:lineRule="auto"/>
        <w:rPr>
          <w:rFonts w:cstheme="minorHAnsi"/>
          <w:lang w:val="en-CA"/>
        </w:rPr>
      </w:pPr>
      <w:r w:rsidRPr="00A854B5">
        <w:rPr>
          <w:rFonts w:cstheme="minorHAnsi"/>
          <w:lang w:val="en-CA"/>
        </w:rPr>
        <w:t xml:space="preserve">Cryopreserved biospecimens will be stored in a secure freezer in </w:t>
      </w:r>
      <w:r>
        <w:rPr>
          <w:rFonts w:cstheme="minorHAnsi"/>
          <w:lang w:val="en-CA"/>
        </w:rPr>
        <w:t>TR-ANZGOG-designated laboratories</w:t>
      </w:r>
      <w:r w:rsidRPr="00A854B5">
        <w:rPr>
          <w:rFonts w:cstheme="minorHAnsi"/>
          <w:lang w:val="en-CA"/>
        </w:rPr>
        <w:t xml:space="preserve"> within </w:t>
      </w:r>
      <w:r>
        <w:rPr>
          <w:rFonts w:cstheme="minorHAnsi"/>
          <w:lang w:val="en-CA"/>
        </w:rPr>
        <w:t xml:space="preserve">Australia and New Zealand </w:t>
      </w:r>
      <w:r w:rsidRPr="00A854B5">
        <w:rPr>
          <w:rFonts w:cstheme="minorHAnsi"/>
          <w:lang w:val="en-CA"/>
        </w:rPr>
        <w:t xml:space="preserve">with restricted access.  The temperature of the freezers will be constantly monitored.  Biospecimens stored at other temperatures (i.e. cool or ambient temperature) will be stored in appropriate storage containers in a secured room with appropriate temperature and humidity controls within in the </w:t>
      </w:r>
      <w:r>
        <w:rPr>
          <w:rFonts w:cstheme="minorHAnsi"/>
          <w:lang w:val="en-CA"/>
        </w:rPr>
        <w:t>TR-ANZGOG-designated laboratories.</w:t>
      </w:r>
    </w:p>
    <w:p w14:paraId="6AA75959" w14:textId="77777777" w:rsidR="00896D57" w:rsidRPr="00A854B5" w:rsidRDefault="00896D57" w:rsidP="00896D57">
      <w:pPr>
        <w:spacing w:line="276" w:lineRule="auto"/>
        <w:rPr>
          <w:rFonts w:cstheme="minorHAnsi"/>
          <w:lang w:val="en-CA"/>
        </w:rPr>
      </w:pPr>
      <w:r w:rsidRPr="00A854B5">
        <w:rPr>
          <w:rFonts w:cstheme="minorHAnsi"/>
          <w:lang w:val="en-CA"/>
        </w:rPr>
        <w:t xml:space="preserve">The monitoring system will alert members of staff (over a 24 hour period, 7 days a week) if the temperature of the freezers deviate outside their operating limits. Back-up freezers will be available if there is a freezer failure. Independent electrical supplies will provide energy for the freezers and all will be secured by the </w:t>
      </w:r>
      <w:r>
        <w:rPr>
          <w:rFonts w:cstheme="minorHAnsi"/>
          <w:lang w:val="en-CA"/>
        </w:rPr>
        <w:t xml:space="preserve">Institution’s </w:t>
      </w:r>
      <w:r w:rsidRPr="00A854B5">
        <w:rPr>
          <w:rFonts w:cstheme="minorHAnsi"/>
          <w:lang w:val="en-CA"/>
        </w:rPr>
        <w:t>generator. A biobank software system will be in place to record the storage and withdrawal of biospecimens for research purposes. This will provide an audit trail for biospecimens.</w:t>
      </w:r>
    </w:p>
    <w:p w14:paraId="311B9CA0" w14:textId="77777777" w:rsidR="00896D57" w:rsidRDefault="00896D57" w:rsidP="00896D57">
      <w:pPr>
        <w:spacing w:line="276" w:lineRule="auto"/>
        <w:rPr>
          <w:rFonts w:cstheme="minorHAnsi"/>
          <w:bCs/>
        </w:rPr>
      </w:pPr>
      <w:r>
        <w:rPr>
          <w:rFonts w:cstheme="minorHAnsi"/>
          <w:bCs/>
        </w:rPr>
        <w:t>TR-ANZGOG dedicated laboratories will be responsible for the maintenance of records, as outlined in agreements to demonstrate quality assurance adherence.</w:t>
      </w:r>
    </w:p>
    <w:p w14:paraId="1F8F6561" w14:textId="77777777" w:rsidR="00896D57" w:rsidRPr="00896D57" w:rsidRDefault="00896D57" w:rsidP="00B21F2C">
      <w:pPr>
        <w:tabs>
          <w:tab w:val="left" w:pos="6180"/>
        </w:tabs>
        <w:rPr>
          <w:rFonts w:cstheme="minorHAnsi"/>
        </w:rPr>
      </w:pPr>
    </w:p>
    <w:sectPr w:rsidR="00896D57" w:rsidRPr="00896D57" w:rsidSect="00B41FE1">
      <w:headerReference w:type="default" r:id="rId7"/>
      <w:footerReference w:type="default" r:id="rId8"/>
      <w:headerReference w:type="first" r:id="rId9"/>
      <w:footerReference w:type="first" r:id="rId10"/>
      <w:pgSz w:w="11906" w:h="16838"/>
      <w:pgMar w:top="2268" w:right="1134" w:bottom="1134"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C53E" w14:textId="77777777" w:rsidR="00E900A1" w:rsidRDefault="00E900A1" w:rsidP="00960607">
      <w:pPr>
        <w:spacing w:after="0" w:line="240" w:lineRule="auto"/>
      </w:pPr>
      <w:r>
        <w:separator/>
      </w:r>
    </w:p>
  </w:endnote>
  <w:endnote w:type="continuationSeparator" w:id="0">
    <w:p w14:paraId="67DF8792" w14:textId="77777777" w:rsidR="00E900A1" w:rsidRDefault="00E900A1" w:rsidP="0096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DINPro">
    <w:altName w:val="Arial"/>
    <w:panose1 w:val="00000000000000000000"/>
    <w:charset w:val="00"/>
    <w:family w:val="swiss"/>
    <w:notTrueType/>
    <w:pitch w:val="variable"/>
    <w:sig w:usb0="A00002B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707718"/>
      <w:docPartObj>
        <w:docPartGallery w:val="Page Numbers (Bottom of Page)"/>
        <w:docPartUnique/>
      </w:docPartObj>
    </w:sdtPr>
    <w:sdtEndPr>
      <w:rPr>
        <w:rFonts w:ascii="DINPro" w:hAnsi="DINPro"/>
        <w:color w:val="767171" w:themeColor="background2" w:themeShade="80"/>
        <w:sz w:val="18"/>
      </w:rPr>
    </w:sdtEndPr>
    <w:sdtContent>
      <w:p w14:paraId="5F6233C1" w14:textId="00801129" w:rsidR="00B41FE1" w:rsidRPr="00B41FE1" w:rsidRDefault="00711342" w:rsidP="00B21F2C">
        <w:pPr>
          <w:pStyle w:val="Footer"/>
          <w:rPr>
            <w:rFonts w:ascii="DINPro" w:hAnsi="DINPro"/>
            <w:color w:val="767171" w:themeColor="background2" w:themeShade="80"/>
            <w:sz w:val="18"/>
          </w:rPr>
        </w:pPr>
        <w:r>
          <w:t xml:space="preserve">6.1.1 TR-ANZGOG Recommended Biospecimen Collection_v1.2_24May2020 </w:t>
        </w:r>
        <w:r>
          <w:tab/>
        </w:r>
        <w:r w:rsidR="00B41FE1" w:rsidRPr="009548D9">
          <w:rPr>
            <w:rFonts w:ascii="DINPro" w:hAnsi="DINPro"/>
            <w:color w:val="767171" w:themeColor="background2" w:themeShade="80"/>
            <w:sz w:val="18"/>
          </w:rPr>
          <w:t xml:space="preserve">Page | </w:t>
        </w:r>
        <w:r w:rsidR="00B41FE1" w:rsidRPr="009548D9">
          <w:rPr>
            <w:rFonts w:ascii="DINPro" w:hAnsi="DINPro"/>
            <w:color w:val="767171" w:themeColor="background2" w:themeShade="80"/>
            <w:sz w:val="18"/>
          </w:rPr>
          <w:fldChar w:fldCharType="begin"/>
        </w:r>
        <w:r w:rsidR="00B41FE1" w:rsidRPr="009548D9">
          <w:rPr>
            <w:rFonts w:ascii="DINPro" w:hAnsi="DINPro"/>
            <w:color w:val="767171" w:themeColor="background2" w:themeShade="80"/>
            <w:sz w:val="18"/>
          </w:rPr>
          <w:instrText xml:space="preserve"> PAGE   \* MERGEFORMAT </w:instrText>
        </w:r>
        <w:r w:rsidR="00B41FE1" w:rsidRPr="009548D9">
          <w:rPr>
            <w:rFonts w:ascii="DINPro" w:hAnsi="DINPro"/>
            <w:color w:val="767171" w:themeColor="background2" w:themeShade="80"/>
            <w:sz w:val="18"/>
          </w:rPr>
          <w:fldChar w:fldCharType="separate"/>
        </w:r>
        <w:r w:rsidR="00B21F2C">
          <w:rPr>
            <w:rFonts w:ascii="DINPro" w:hAnsi="DINPro"/>
            <w:noProof/>
            <w:color w:val="767171" w:themeColor="background2" w:themeShade="80"/>
            <w:sz w:val="18"/>
          </w:rPr>
          <w:t>2</w:t>
        </w:r>
        <w:r w:rsidR="00B41FE1" w:rsidRPr="009548D9">
          <w:rPr>
            <w:rFonts w:ascii="DINPro" w:hAnsi="DINPro"/>
            <w:noProof/>
            <w:color w:val="767171" w:themeColor="background2" w:themeShade="80"/>
            <w:sz w:val="18"/>
          </w:rPr>
          <w:fldChar w:fldCharType="end"/>
        </w:r>
        <w:r w:rsidR="00B41FE1" w:rsidRPr="009548D9">
          <w:rPr>
            <w:rFonts w:ascii="DINPro" w:hAnsi="DINPro"/>
            <w:color w:val="767171" w:themeColor="background2" w:themeShade="80"/>
            <w:sz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C2BD9" w14:textId="3E1919F2" w:rsidR="009548D9" w:rsidRDefault="00453196" w:rsidP="00453196">
    <w:pPr>
      <w:pStyle w:val="Footer"/>
    </w:pPr>
    <w:r>
      <w:t xml:space="preserve">TR-ANZGOG </w:t>
    </w:r>
    <w:r w:rsidR="00D5484C">
      <w:t>S</w:t>
    </w:r>
    <w:r>
      <w:t>pecimen Collection</w:t>
    </w:r>
    <w:r w:rsidR="00896D57">
      <w:t xml:space="preserve"> V1.2 24 May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8039A" w14:textId="77777777" w:rsidR="00E900A1" w:rsidRDefault="00E900A1" w:rsidP="00960607">
      <w:pPr>
        <w:spacing w:after="0" w:line="240" w:lineRule="auto"/>
      </w:pPr>
      <w:r>
        <w:separator/>
      </w:r>
    </w:p>
  </w:footnote>
  <w:footnote w:type="continuationSeparator" w:id="0">
    <w:p w14:paraId="47735B77" w14:textId="77777777" w:rsidR="00E900A1" w:rsidRDefault="00E900A1" w:rsidP="00960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8FFD" w14:textId="77777777" w:rsidR="00960607" w:rsidRDefault="00960607" w:rsidP="009606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CB9E" w14:textId="77777777" w:rsidR="009548D9" w:rsidRDefault="00F0168B">
    <w:pPr>
      <w:pStyle w:val="Header"/>
    </w:pPr>
    <w:r>
      <w:rPr>
        <w:noProof/>
        <w:lang w:val="en-AU" w:eastAsia="en-AU"/>
      </w:rPr>
      <w:drawing>
        <wp:anchor distT="0" distB="0" distL="114300" distR="114300" simplePos="0" relativeHeight="251657728" behindDoc="1" locked="0" layoutInCell="1" allowOverlap="1" wp14:anchorId="241308C6" wp14:editId="09445306">
          <wp:simplePos x="0" y="0"/>
          <wp:positionH relativeFrom="column">
            <wp:posOffset>4925695</wp:posOffset>
          </wp:positionH>
          <wp:positionV relativeFrom="paragraph">
            <wp:posOffset>-449580</wp:posOffset>
          </wp:positionV>
          <wp:extent cx="1547495" cy="1504315"/>
          <wp:effectExtent l="0" t="0" r="0" b="0"/>
          <wp:wrapTight wrapText="bothSides">
            <wp:wrapPolygon edited="0">
              <wp:start x="6116" y="4103"/>
              <wp:lineTo x="4254" y="9027"/>
              <wp:lineTo x="4254" y="13403"/>
              <wp:lineTo x="8509" y="16686"/>
              <wp:lineTo x="8775" y="17233"/>
              <wp:lineTo x="10370" y="17233"/>
              <wp:lineTo x="17018" y="13950"/>
              <wp:lineTo x="17549" y="9847"/>
              <wp:lineTo x="17284" y="4103"/>
              <wp:lineTo x="6116" y="4103"/>
            </wp:wrapPolygon>
          </wp:wrapTight>
          <wp:docPr id="3" name="Picture 3" descr="ANZGOG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GOG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7495" cy="15043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9.4pt;height:157.2pt" o:bullet="t">
        <v:imagedata r:id="rId1" o:title="artB245"/>
      </v:shape>
    </w:pict>
  </w:numPicBullet>
  <w:numPicBullet w:numPicBulletId="1">
    <w:pict>
      <v:shape id="_x0000_i1027" type="#_x0000_t75" style="width:178.8pt;height:157.2pt" o:bullet="t">
        <v:imagedata r:id="rId2" o:title="WC_Mini_Icon_Colour"/>
      </v:shape>
    </w:pict>
  </w:numPicBullet>
  <w:abstractNum w:abstractNumId="0" w15:restartNumberingAfterBreak="0">
    <w:nsid w:val="0140172F"/>
    <w:multiLevelType w:val="hybridMultilevel"/>
    <w:tmpl w:val="A39E6D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8274A"/>
    <w:multiLevelType w:val="hybridMultilevel"/>
    <w:tmpl w:val="0D40C9DA"/>
    <w:lvl w:ilvl="0" w:tplc="6C0465DA">
      <w:start w:val="1"/>
      <w:numFmt w:val="bullet"/>
      <w:lvlText w:val=""/>
      <w:lvlPicBulletId w:val="0"/>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hint="default"/>
      </w:rPr>
    </w:lvl>
    <w:lvl w:ilvl="2" w:tplc="4FAA9C20" w:tentative="1">
      <w:start w:val="1"/>
      <w:numFmt w:val="bullet"/>
      <w:lvlText w:val=""/>
      <w:lvlPicBulletId w:val="0"/>
      <w:lvlJc w:val="left"/>
      <w:pPr>
        <w:tabs>
          <w:tab w:val="num" w:pos="2160"/>
        </w:tabs>
        <w:ind w:left="2160" w:hanging="360"/>
      </w:pPr>
      <w:rPr>
        <w:rFonts w:ascii="Symbol" w:hAnsi="Symbol" w:hint="default"/>
      </w:rPr>
    </w:lvl>
    <w:lvl w:ilvl="3" w:tplc="1C8CA5C6" w:tentative="1">
      <w:start w:val="1"/>
      <w:numFmt w:val="bullet"/>
      <w:lvlText w:val=""/>
      <w:lvlPicBulletId w:val="0"/>
      <w:lvlJc w:val="left"/>
      <w:pPr>
        <w:tabs>
          <w:tab w:val="num" w:pos="2880"/>
        </w:tabs>
        <w:ind w:left="2880" w:hanging="360"/>
      </w:pPr>
      <w:rPr>
        <w:rFonts w:ascii="Symbol" w:hAnsi="Symbol" w:hint="default"/>
      </w:rPr>
    </w:lvl>
    <w:lvl w:ilvl="4" w:tplc="317EFEB0" w:tentative="1">
      <w:start w:val="1"/>
      <w:numFmt w:val="bullet"/>
      <w:lvlText w:val=""/>
      <w:lvlPicBulletId w:val="0"/>
      <w:lvlJc w:val="left"/>
      <w:pPr>
        <w:tabs>
          <w:tab w:val="num" w:pos="3600"/>
        </w:tabs>
        <w:ind w:left="3600" w:hanging="360"/>
      </w:pPr>
      <w:rPr>
        <w:rFonts w:ascii="Symbol" w:hAnsi="Symbol" w:hint="default"/>
      </w:rPr>
    </w:lvl>
    <w:lvl w:ilvl="5" w:tplc="3DAEA08E" w:tentative="1">
      <w:start w:val="1"/>
      <w:numFmt w:val="bullet"/>
      <w:lvlText w:val=""/>
      <w:lvlPicBulletId w:val="0"/>
      <w:lvlJc w:val="left"/>
      <w:pPr>
        <w:tabs>
          <w:tab w:val="num" w:pos="4320"/>
        </w:tabs>
        <w:ind w:left="4320" w:hanging="360"/>
      </w:pPr>
      <w:rPr>
        <w:rFonts w:ascii="Symbol" w:hAnsi="Symbol" w:hint="default"/>
      </w:rPr>
    </w:lvl>
    <w:lvl w:ilvl="6" w:tplc="F0CC4AD4" w:tentative="1">
      <w:start w:val="1"/>
      <w:numFmt w:val="bullet"/>
      <w:lvlText w:val=""/>
      <w:lvlPicBulletId w:val="0"/>
      <w:lvlJc w:val="left"/>
      <w:pPr>
        <w:tabs>
          <w:tab w:val="num" w:pos="5040"/>
        </w:tabs>
        <w:ind w:left="5040" w:hanging="360"/>
      </w:pPr>
      <w:rPr>
        <w:rFonts w:ascii="Symbol" w:hAnsi="Symbol" w:hint="default"/>
      </w:rPr>
    </w:lvl>
    <w:lvl w:ilvl="7" w:tplc="15FA5C00" w:tentative="1">
      <w:start w:val="1"/>
      <w:numFmt w:val="bullet"/>
      <w:lvlText w:val=""/>
      <w:lvlPicBulletId w:val="0"/>
      <w:lvlJc w:val="left"/>
      <w:pPr>
        <w:tabs>
          <w:tab w:val="num" w:pos="5760"/>
        </w:tabs>
        <w:ind w:left="5760" w:hanging="360"/>
      </w:pPr>
      <w:rPr>
        <w:rFonts w:ascii="Symbol" w:hAnsi="Symbol" w:hint="default"/>
      </w:rPr>
    </w:lvl>
    <w:lvl w:ilvl="8" w:tplc="022A681A"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B2B3214"/>
    <w:multiLevelType w:val="hybridMultilevel"/>
    <w:tmpl w:val="D034F36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C6B63E2"/>
    <w:multiLevelType w:val="hybridMultilevel"/>
    <w:tmpl w:val="5832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AF7A7D"/>
    <w:multiLevelType w:val="hybridMultilevel"/>
    <w:tmpl w:val="D034F362"/>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E1B1582"/>
    <w:multiLevelType w:val="hybridMultilevel"/>
    <w:tmpl w:val="B5C4BE48"/>
    <w:lvl w:ilvl="0" w:tplc="6C0465DA">
      <w:start w:val="1"/>
      <w:numFmt w:val="bullet"/>
      <w:lvlText w:val=""/>
      <w:lvlPicBulletId w:val="0"/>
      <w:lvlJc w:val="left"/>
      <w:pPr>
        <w:tabs>
          <w:tab w:val="num" w:pos="720"/>
        </w:tabs>
        <w:ind w:left="720" w:hanging="360"/>
      </w:pPr>
      <w:rPr>
        <w:rFonts w:ascii="Symbol" w:hAnsi="Symbol" w:hint="default"/>
      </w:rPr>
    </w:lvl>
    <w:lvl w:ilvl="1" w:tplc="CB423180">
      <w:numFmt w:val="bullet"/>
      <w:lvlText w:val=""/>
      <w:lvlPicBulletId w:val="0"/>
      <w:lvlJc w:val="left"/>
      <w:pPr>
        <w:tabs>
          <w:tab w:val="num" w:pos="1440"/>
        </w:tabs>
        <w:ind w:left="1440" w:hanging="360"/>
      </w:pPr>
      <w:rPr>
        <w:rFonts w:ascii="Symbol" w:hAnsi="Symbol" w:hint="default"/>
      </w:rPr>
    </w:lvl>
    <w:lvl w:ilvl="2" w:tplc="4FAA9C20" w:tentative="1">
      <w:start w:val="1"/>
      <w:numFmt w:val="bullet"/>
      <w:lvlText w:val=""/>
      <w:lvlPicBulletId w:val="0"/>
      <w:lvlJc w:val="left"/>
      <w:pPr>
        <w:tabs>
          <w:tab w:val="num" w:pos="2160"/>
        </w:tabs>
        <w:ind w:left="2160" w:hanging="360"/>
      </w:pPr>
      <w:rPr>
        <w:rFonts w:ascii="Symbol" w:hAnsi="Symbol" w:hint="default"/>
      </w:rPr>
    </w:lvl>
    <w:lvl w:ilvl="3" w:tplc="1C8CA5C6" w:tentative="1">
      <w:start w:val="1"/>
      <w:numFmt w:val="bullet"/>
      <w:lvlText w:val=""/>
      <w:lvlPicBulletId w:val="0"/>
      <w:lvlJc w:val="left"/>
      <w:pPr>
        <w:tabs>
          <w:tab w:val="num" w:pos="2880"/>
        </w:tabs>
        <w:ind w:left="2880" w:hanging="360"/>
      </w:pPr>
      <w:rPr>
        <w:rFonts w:ascii="Symbol" w:hAnsi="Symbol" w:hint="default"/>
      </w:rPr>
    </w:lvl>
    <w:lvl w:ilvl="4" w:tplc="317EFEB0" w:tentative="1">
      <w:start w:val="1"/>
      <w:numFmt w:val="bullet"/>
      <w:lvlText w:val=""/>
      <w:lvlPicBulletId w:val="0"/>
      <w:lvlJc w:val="left"/>
      <w:pPr>
        <w:tabs>
          <w:tab w:val="num" w:pos="3600"/>
        </w:tabs>
        <w:ind w:left="3600" w:hanging="360"/>
      </w:pPr>
      <w:rPr>
        <w:rFonts w:ascii="Symbol" w:hAnsi="Symbol" w:hint="default"/>
      </w:rPr>
    </w:lvl>
    <w:lvl w:ilvl="5" w:tplc="3DAEA08E" w:tentative="1">
      <w:start w:val="1"/>
      <w:numFmt w:val="bullet"/>
      <w:lvlText w:val=""/>
      <w:lvlPicBulletId w:val="0"/>
      <w:lvlJc w:val="left"/>
      <w:pPr>
        <w:tabs>
          <w:tab w:val="num" w:pos="4320"/>
        </w:tabs>
        <w:ind w:left="4320" w:hanging="360"/>
      </w:pPr>
      <w:rPr>
        <w:rFonts w:ascii="Symbol" w:hAnsi="Symbol" w:hint="default"/>
      </w:rPr>
    </w:lvl>
    <w:lvl w:ilvl="6" w:tplc="F0CC4AD4" w:tentative="1">
      <w:start w:val="1"/>
      <w:numFmt w:val="bullet"/>
      <w:lvlText w:val=""/>
      <w:lvlPicBulletId w:val="0"/>
      <w:lvlJc w:val="left"/>
      <w:pPr>
        <w:tabs>
          <w:tab w:val="num" w:pos="5040"/>
        </w:tabs>
        <w:ind w:left="5040" w:hanging="360"/>
      </w:pPr>
      <w:rPr>
        <w:rFonts w:ascii="Symbol" w:hAnsi="Symbol" w:hint="default"/>
      </w:rPr>
    </w:lvl>
    <w:lvl w:ilvl="7" w:tplc="15FA5C00" w:tentative="1">
      <w:start w:val="1"/>
      <w:numFmt w:val="bullet"/>
      <w:lvlText w:val=""/>
      <w:lvlPicBulletId w:val="0"/>
      <w:lvlJc w:val="left"/>
      <w:pPr>
        <w:tabs>
          <w:tab w:val="num" w:pos="5760"/>
        </w:tabs>
        <w:ind w:left="5760" w:hanging="360"/>
      </w:pPr>
      <w:rPr>
        <w:rFonts w:ascii="Symbol" w:hAnsi="Symbol" w:hint="default"/>
      </w:rPr>
    </w:lvl>
    <w:lvl w:ilvl="8" w:tplc="022A681A"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56E31CA7"/>
    <w:multiLevelType w:val="hybridMultilevel"/>
    <w:tmpl w:val="AD840C48"/>
    <w:lvl w:ilvl="0" w:tplc="9C7CE74A">
      <w:start w:val="1"/>
      <w:numFmt w:val="bullet"/>
      <w:lvlText w:val=""/>
      <w:lvlPicBulletId w:val="0"/>
      <w:lvlJc w:val="left"/>
      <w:pPr>
        <w:tabs>
          <w:tab w:val="num" w:pos="720"/>
        </w:tabs>
        <w:ind w:left="720" w:hanging="360"/>
      </w:pPr>
      <w:rPr>
        <w:rFonts w:ascii="Symbol" w:hAnsi="Symbol" w:hint="default"/>
      </w:rPr>
    </w:lvl>
    <w:lvl w:ilvl="1" w:tplc="C2A81B02" w:tentative="1">
      <w:start w:val="1"/>
      <w:numFmt w:val="bullet"/>
      <w:lvlText w:val=""/>
      <w:lvlPicBulletId w:val="0"/>
      <w:lvlJc w:val="left"/>
      <w:pPr>
        <w:tabs>
          <w:tab w:val="num" w:pos="1440"/>
        </w:tabs>
        <w:ind w:left="1440" w:hanging="360"/>
      </w:pPr>
      <w:rPr>
        <w:rFonts w:ascii="Symbol" w:hAnsi="Symbol" w:hint="default"/>
      </w:rPr>
    </w:lvl>
    <w:lvl w:ilvl="2" w:tplc="85EC0FA6" w:tentative="1">
      <w:start w:val="1"/>
      <w:numFmt w:val="bullet"/>
      <w:lvlText w:val=""/>
      <w:lvlPicBulletId w:val="0"/>
      <w:lvlJc w:val="left"/>
      <w:pPr>
        <w:tabs>
          <w:tab w:val="num" w:pos="2160"/>
        </w:tabs>
        <w:ind w:left="2160" w:hanging="360"/>
      </w:pPr>
      <w:rPr>
        <w:rFonts w:ascii="Symbol" w:hAnsi="Symbol" w:hint="default"/>
      </w:rPr>
    </w:lvl>
    <w:lvl w:ilvl="3" w:tplc="A354694A" w:tentative="1">
      <w:start w:val="1"/>
      <w:numFmt w:val="bullet"/>
      <w:lvlText w:val=""/>
      <w:lvlPicBulletId w:val="0"/>
      <w:lvlJc w:val="left"/>
      <w:pPr>
        <w:tabs>
          <w:tab w:val="num" w:pos="2880"/>
        </w:tabs>
        <w:ind w:left="2880" w:hanging="360"/>
      </w:pPr>
      <w:rPr>
        <w:rFonts w:ascii="Symbol" w:hAnsi="Symbol" w:hint="default"/>
      </w:rPr>
    </w:lvl>
    <w:lvl w:ilvl="4" w:tplc="B30C8012" w:tentative="1">
      <w:start w:val="1"/>
      <w:numFmt w:val="bullet"/>
      <w:lvlText w:val=""/>
      <w:lvlPicBulletId w:val="0"/>
      <w:lvlJc w:val="left"/>
      <w:pPr>
        <w:tabs>
          <w:tab w:val="num" w:pos="3600"/>
        </w:tabs>
        <w:ind w:left="3600" w:hanging="360"/>
      </w:pPr>
      <w:rPr>
        <w:rFonts w:ascii="Symbol" w:hAnsi="Symbol" w:hint="default"/>
      </w:rPr>
    </w:lvl>
    <w:lvl w:ilvl="5" w:tplc="B3DED6E0" w:tentative="1">
      <w:start w:val="1"/>
      <w:numFmt w:val="bullet"/>
      <w:lvlText w:val=""/>
      <w:lvlPicBulletId w:val="0"/>
      <w:lvlJc w:val="left"/>
      <w:pPr>
        <w:tabs>
          <w:tab w:val="num" w:pos="4320"/>
        </w:tabs>
        <w:ind w:left="4320" w:hanging="360"/>
      </w:pPr>
      <w:rPr>
        <w:rFonts w:ascii="Symbol" w:hAnsi="Symbol" w:hint="default"/>
      </w:rPr>
    </w:lvl>
    <w:lvl w:ilvl="6" w:tplc="CF6C0BC0" w:tentative="1">
      <w:start w:val="1"/>
      <w:numFmt w:val="bullet"/>
      <w:lvlText w:val=""/>
      <w:lvlPicBulletId w:val="0"/>
      <w:lvlJc w:val="left"/>
      <w:pPr>
        <w:tabs>
          <w:tab w:val="num" w:pos="5040"/>
        </w:tabs>
        <w:ind w:left="5040" w:hanging="360"/>
      </w:pPr>
      <w:rPr>
        <w:rFonts w:ascii="Symbol" w:hAnsi="Symbol" w:hint="default"/>
      </w:rPr>
    </w:lvl>
    <w:lvl w:ilvl="7" w:tplc="0240C612" w:tentative="1">
      <w:start w:val="1"/>
      <w:numFmt w:val="bullet"/>
      <w:lvlText w:val=""/>
      <w:lvlPicBulletId w:val="0"/>
      <w:lvlJc w:val="left"/>
      <w:pPr>
        <w:tabs>
          <w:tab w:val="num" w:pos="5760"/>
        </w:tabs>
        <w:ind w:left="5760" w:hanging="360"/>
      </w:pPr>
      <w:rPr>
        <w:rFonts w:ascii="Symbol" w:hAnsi="Symbol" w:hint="default"/>
      </w:rPr>
    </w:lvl>
    <w:lvl w:ilvl="8" w:tplc="14BCB3DE"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57A229BC"/>
    <w:multiLevelType w:val="hybridMultilevel"/>
    <w:tmpl w:val="7ABE5568"/>
    <w:lvl w:ilvl="0" w:tplc="6C0465DA">
      <w:start w:val="1"/>
      <w:numFmt w:val="bullet"/>
      <w:lvlText w:val=""/>
      <w:lvlPicBulletId w:val="0"/>
      <w:lvlJc w:val="left"/>
      <w:pPr>
        <w:tabs>
          <w:tab w:val="num" w:pos="720"/>
        </w:tabs>
        <w:ind w:left="720" w:hanging="360"/>
      </w:pPr>
      <w:rPr>
        <w:rFonts w:ascii="Symbol" w:hAnsi="Symbol" w:hint="default"/>
      </w:rPr>
    </w:lvl>
    <w:lvl w:ilvl="1" w:tplc="DF8215EE">
      <w:start w:val="1"/>
      <w:numFmt w:val="bullet"/>
      <w:lvlText w:val=""/>
      <w:lvlPicBulletId w:val="1"/>
      <w:lvlJc w:val="left"/>
      <w:pPr>
        <w:tabs>
          <w:tab w:val="num" w:pos="1919"/>
        </w:tabs>
        <w:ind w:left="1919" w:hanging="360"/>
      </w:pPr>
      <w:rPr>
        <w:rFonts w:ascii="Symbol" w:hAnsi="Symbol" w:hint="default"/>
        <w:color w:val="auto"/>
      </w:rPr>
    </w:lvl>
    <w:lvl w:ilvl="2" w:tplc="4FAA9C20" w:tentative="1">
      <w:start w:val="1"/>
      <w:numFmt w:val="bullet"/>
      <w:lvlText w:val=""/>
      <w:lvlPicBulletId w:val="0"/>
      <w:lvlJc w:val="left"/>
      <w:pPr>
        <w:tabs>
          <w:tab w:val="num" w:pos="2160"/>
        </w:tabs>
        <w:ind w:left="2160" w:hanging="360"/>
      </w:pPr>
      <w:rPr>
        <w:rFonts w:ascii="Symbol" w:hAnsi="Symbol" w:hint="default"/>
      </w:rPr>
    </w:lvl>
    <w:lvl w:ilvl="3" w:tplc="1C8CA5C6" w:tentative="1">
      <w:start w:val="1"/>
      <w:numFmt w:val="bullet"/>
      <w:lvlText w:val=""/>
      <w:lvlPicBulletId w:val="0"/>
      <w:lvlJc w:val="left"/>
      <w:pPr>
        <w:tabs>
          <w:tab w:val="num" w:pos="2880"/>
        </w:tabs>
        <w:ind w:left="2880" w:hanging="360"/>
      </w:pPr>
      <w:rPr>
        <w:rFonts w:ascii="Symbol" w:hAnsi="Symbol" w:hint="default"/>
      </w:rPr>
    </w:lvl>
    <w:lvl w:ilvl="4" w:tplc="317EFEB0" w:tentative="1">
      <w:start w:val="1"/>
      <w:numFmt w:val="bullet"/>
      <w:lvlText w:val=""/>
      <w:lvlPicBulletId w:val="0"/>
      <w:lvlJc w:val="left"/>
      <w:pPr>
        <w:tabs>
          <w:tab w:val="num" w:pos="3600"/>
        </w:tabs>
        <w:ind w:left="3600" w:hanging="360"/>
      </w:pPr>
      <w:rPr>
        <w:rFonts w:ascii="Symbol" w:hAnsi="Symbol" w:hint="default"/>
      </w:rPr>
    </w:lvl>
    <w:lvl w:ilvl="5" w:tplc="3DAEA08E" w:tentative="1">
      <w:start w:val="1"/>
      <w:numFmt w:val="bullet"/>
      <w:lvlText w:val=""/>
      <w:lvlPicBulletId w:val="0"/>
      <w:lvlJc w:val="left"/>
      <w:pPr>
        <w:tabs>
          <w:tab w:val="num" w:pos="4320"/>
        </w:tabs>
        <w:ind w:left="4320" w:hanging="360"/>
      </w:pPr>
      <w:rPr>
        <w:rFonts w:ascii="Symbol" w:hAnsi="Symbol" w:hint="default"/>
      </w:rPr>
    </w:lvl>
    <w:lvl w:ilvl="6" w:tplc="F0CC4AD4" w:tentative="1">
      <w:start w:val="1"/>
      <w:numFmt w:val="bullet"/>
      <w:lvlText w:val=""/>
      <w:lvlPicBulletId w:val="0"/>
      <w:lvlJc w:val="left"/>
      <w:pPr>
        <w:tabs>
          <w:tab w:val="num" w:pos="5040"/>
        </w:tabs>
        <w:ind w:left="5040" w:hanging="360"/>
      </w:pPr>
      <w:rPr>
        <w:rFonts w:ascii="Symbol" w:hAnsi="Symbol" w:hint="default"/>
      </w:rPr>
    </w:lvl>
    <w:lvl w:ilvl="7" w:tplc="15FA5C00" w:tentative="1">
      <w:start w:val="1"/>
      <w:numFmt w:val="bullet"/>
      <w:lvlText w:val=""/>
      <w:lvlPicBulletId w:val="0"/>
      <w:lvlJc w:val="left"/>
      <w:pPr>
        <w:tabs>
          <w:tab w:val="num" w:pos="5760"/>
        </w:tabs>
        <w:ind w:left="5760" w:hanging="360"/>
      </w:pPr>
      <w:rPr>
        <w:rFonts w:ascii="Symbol" w:hAnsi="Symbol" w:hint="default"/>
      </w:rPr>
    </w:lvl>
    <w:lvl w:ilvl="8" w:tplc="022A681A"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5A4C5B69"/>
    <w:multiLevelType w:val="hybridMultilevel"/>
    <w:tmpl w:val="3F2CF34A"/>
    <w:lvl w:ilvl="0" w:tplc="6C0465DA">
      <w:start w:val="1"/>
      <w:numFmt w:val="bullet"/>
      <w:lvlText w:val=""/>
      <w:lvlPicBulletId w:val="0"/>
      <w:lvlJc w:val="left"/>
      <w:pPr>
        <w:tabs>
          <w:tab w:val="num" w:pos="720"/>
        </w:tabs>
        <w:ind w:left="720" w:hanging="360"/>
      </w:pPr>
      <w:rPr>
        <w:rFonts w:ascii="Symbol" w:hAnsi="Symbol" w:hint="default"/>
      </w:rPr>
    </w:lvl>
    <w:lvl w:ilvl="1" w:tplc="0C090019">
      <w:start w:val="1"/>
      <w:numFmt w:val="lowerLetter"/>
      <w:lvlText w:val="%2."/>
      <w:lvlJc w:val="left"/>
      <w:pPr>
        <w:tabs>
          <w:tab w:val="num" w:pos="1636"/>
        </w:tabs>
        <w:ind w:left="1636" w:hanging="360"/>
      </w:pPr>
      <w:rPr>
        <w:rFonts w:hint="default"/>
      </w:rPr>
    </w:lvl>
    <w:lvl w:ilvl="2" w:tplc="4FAA9C20">
      <w:start w:val="1"/>
      <w:numFmt w:val="bullet"/>
      <w:lvlText w:val=""/>
      <w:lvlPicBulletId w:val="0"/>
      <w:lvlJc w:val="left"/>
      <w:pPr>
        <w:tabs>
          <w:tab w:val="num" w:pos="2160"/>
        </w:tabs>
        <w:ind w:left="2160" w:hanging="360"/>
      </w:pPr>
      <w:rPr>
        <w:rFonts w:ascii="Symbol" w:hAnsi="Symbol" w:hint="default"/>
      </w:rPr>
    </w:lvl>
    <w:lvl w:ilvl="3" w:tplc="1C8CA5C6" w:tentative="1">
      <w:start w:val="1"/>
      <w:numFmt w:val="bullet"/>
      <w:lvlText w:val=""/>
      <w:lvlPicBulletId w:val="0"/>
      <w:lvlJc w:val="left"/>
      <w:pPr>
        <w:tabs>
          <w:tab w:val="num" w:pos="2880"/>
        </w:tabs>
        <w:ind w:left="2880" w:hanging="360"/>
      </w:pPr>
      <w:rPr>
        <w:rFonts w:ascii="Symbol" w:hAnsi="Symbol" w:hint="default"/>
      </w:rPr>
    </w:lvl>
    <w:lvl w:ilvl="4" w:tplc="317EFEB0" w:tentative="1">
      <w:start w:val="1"/>
      <w:numFmt w:val="bullet"/>
      <w:lvlText w:val=""/>
      <w:lvlPicBulletId w:val="0"/>
      <w:lvlJc w:val="left"/>
      <w:pPr>
        <w:tabs>
          <w:tab w:val="num" w:pos="3600"/>
        </w:tabs>
        <w:ind w:left="3600" w:hanging="360"/>
      </w:pPr>
      <w:rPr>
        <w:rFonts w:ascii="Symbol" w:hAnsi="Symbol" w:hint="default"/>
      </w:rPr>
    </w:lvl>
    <w:lvl w:ilvl="5" w:tplc="3DAEA08E" w:tentative="1">
      <w:start w:val="1"/>
      <w:numFmt w:val="bullet"/>
      <w:lvlText w:val=""/>
      <w:lvlPicBulletId w:val="0"/>
      <w:lvlJc w:val="left"/>
      <w:pPr>
        <w:tabs>
          <w:tab w:val="num" w:pos="4320"/>
        </w:tabs>
        <w:ind w:left="4320" w:hanging="360"/>
      </w:pPr>
      <w:rPr>
        <w:rFonts w:ascii="Symbol" w:hAnsi="Symbol" w:hint="default"/>
      </w:rPr>
    </w:lvl>
    <w:lvl w:ilvl="6" w:tplc="F0CC4AD4" w:tentative="1">
      <w:start w:val="1"/>
      <w:numFmt w:val="bullet"/>
      <w:lvlText w:val=""/>
      <w:lvlPicBulletId w:val="0"/>
      <w:lvlJc w:val="left"/>
      <w:pPr>
        <w:tabs>
          <w:tab w:val="num" w:pos="5040"/>
        </w:tabs>
        <w:ind w:left="5040" w:hanging="360"/>
      </w:pPr>
      <w:rPr>
        <w:rFonts w:ascii="Symbol" w:hAnsi="Symbol" w:hint="default"/>
      </w:rPr>
    </w:lvl>
    <w:lvl w:ilvl="7" w:tplc="15FA5C00" w:tentative="1">
      <w:start w:val="1"/>
      <w:numFmt w:val="bullet"/>
      <w:lvlText w:val=""/>
      <w:lvlPicBulletId w:val="0"/>
      <w:lvlJc w:val="left"/>
      <w:pPr>
        <w:tabs>
          <w:tab w:val="num" w:pos="5760"/>
        </w:tabs>
        <w:ind w:left="5760" w:hanging="360"/>
      </w:pPr>
      <w:rPr>
        <w:rFonts w:ascii="Symbol" w:hAnsi="Symbol" w:hint="default"/>
      </w:rPr>
    </w:lvl>
    <w:lvl w:ilvl="8" w:tplc="022A681A"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6129322C"/>
    <w:multiLevelType w:val="hybridMultilevel"/>
    <w:tmpl w:val="5064610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4DA56AE"/>
    <w:multiLevelType w:val="hybridMultilevel"/>
    <w:tmpl w:val="224899E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8C05927"/>
    <w:multiLevelType w:val="hybridMultilevel"/>
    <w:tmpl w:val="41D63E38"/>
    <w:lvl w:ilvl="0" w:tplc="DF8215EE">
      <w:start w:val="1"/>
      <w:numFmt w:val="bullet"/>
      <w:lvlText w:val=""/>
      <w:lvlPicBulletId w:val="1"/>
      <w:lvlJc w:val="left"/>
      <w:pPr>
        <w:tabs>
          <w:tab w:val="num" w:pos="3347"/>
        </w:tabs>
        <w:ind w:left="3347" w:hanging="360"/>
      </w:pPr>
      <w:rPr>
        <w:rFonts w:ascii="Symbol" w:hAnsi="Symbol" w:hint="default"/>
        <w:color w:val="auto"/>
      </w:rPr>
    </w:lvl>
    <w:lvl w:ilvl="1" w:tplc="24D09DB8" w:tentative="1">
      <w:start w:val="1"/>
      <w:numFmt w:val="bullet"/>
      <w:lvlText w:val=""/>
      <w:lvlPicBulletId w:val="0"/>
      <w:lvlJc w:val="left"/>
      <w:pPr>
        <w:tabs>
          <w:tab w:val="num" w:pos="2726"/>
        </w:tabs>
        <w:ind w:left="2726" w:hanging="360"/>
      </w:pPr>
      <w:rPr>
        <w:rFonts w:ascii="Symbol" w:hAnsi="Symbol" w:hint="default"/>
      </w:rPr>
    </w:lvl>
    <w:lvl w:ilvl="2" w:tplc="4CAE35C6" w:tentative="1">
      <w:start w:val="1"/>
      <w:numFmt w:val="bullet"/>
      <w:lvlText w:val=""/>
      <w:lvlPicBulletId w:val="0"/>
      <w:lvlJc w:val="left"/>
      <w:pPr>
        <w:tabs>
          <w:tab w:val="num" w:pos="3446"/>
        </w:tabs>
        <w:ind w:left="3446" w:hanging="360"/>
      </w:pPr>
      <w:rPr>
        <w:rFonts w:ascii="Symbol" w:hAnsi="Symbol" w:hint="default"/>
      </w:rPr>
    </w:lvl>
    <w:lvl w:ilvl="3" w:tplc="6954485C" w:tentative="1">
      <w:start w:val="1"/>
      <w:numFmt w:val="bullet"/>
      <w:lvlText w:val=""/>
      <w:lvlPicBulletId w:val="0"/>
      <w:lvlJc w:val="left"/>
      <w:pPr>
        <w:tabs>
          <w:tab w:val="num" w:pos="4166"/>
        </w:tabs>
        <w:ind w:left="4166" w:hanging="360"/>
      </w:pPr>
      <w:rPr>
        <w:rFonts w:ascii="Symbol" w:hAnsi="Symbol" w:hint="default"/>
      </w:rPr>
    </w:lvl>
    <w:lvl w:ilvl="4" w:tplc="46A48922" w:tentative="1">
      <w:start w:val="1"/>
      <w:numFmt w:val="bullet"/>
      <w:lvlText w:val=""/>
      <w:lvlPicBulletId w:val="0"/>
      <w:lvlJc w:val="left"/>
      <w:pPr>
        <w:tabs>
          <w:tab w:val="num" w:pos="4886"/>
        </w:tabs>
        <w:ind w:left="4886" w:hanging="360"/>
      </w:pPr>
      <w:rPr>
        <w:rFonts w:ascii="Symbol" w:hAnsi="Symbol" w:hint="default"/>
      </w:rPr>
    </w:lvl>
    <w:lvl w:ilvl="5" w:tplc="6AFE1844" w:tentative="1">
      <w:start w:val="1"/>
      <w:numFmt w:val="bullet"/>
      <w:lvlText w:val=""/>
      <w:lvlPicBulletId w:val="0"/>
      <w:lvlJc w:val="left"/>
      <w:pPr>
        <w:tabs>
          <w:tab w:val="num" w:pos="5606"/>
        </w:tabs>
        <w:ind w:left="5606" w:hanging="360"/>
      </w:pPr>
      <w:rPr>
        <w:rFonts w:ascii="Symbol" w:hAnsi="Symbol" w:hint="default"/>
      </w:rPr>
    </w:lvl>
    <w:lvl w:ilvl="6" w:tplc="5B44A3CC" w:tentative="1">
      <w:start w:val="1"/>
      <w:numFmt w:val="bullet"/>
      <w:lvlText w:val=""/>
      <w:lvlPicBulletId w:val="0"/>
      <w:lvlJc w:val="left"/>
      <w:pPr>
        <w:tabs>
          <w:tab w:val="num" w:pos="6326"/>
        </w:tabs>
        <w:ind w:left="6326" w:hanging="360"/>
      </w:pPr>
      <w:rPr>
        <w:rFonts w:ascii="Symbol" w:hAnsi="Symbol" w:hint="default"/>
      </w:rPr>
    </w:lvl>
    <w:lvl w:ilvl="7" w:tplc="79FC3E8C" w:tentative="1">
      <w:start w:val="1"/>
      <w:numFmt w:val="bullet"/>
      <w:lvlText w:val=""/>
      <w:lvlPicBulletId w:val="0"/>
      <w:lvlJc w:val="left"/>
      <w:pPr>
        <w:tabs>
          <w:tab w:val="num" w:pos="7046"/>
        </w:tabs>
        <w:ind w:left="7046" w:hanging="360"/>
      </w:pPr>
      <w:rPr>
        <w:rFonts w:ascii="Symbol" w:hAnsi="Symbol" w:hint="default"/>
      </w:rPr>
    </w:lvl>
    <w:lvl w:ilvl="8" w:tplc="0770D09E" w:tentative="1">
      <w:start w:val="1"/>
      <w:numFmt w:val="bullet"/>
      <w:lvlText w:val=""/>
      <w:lvlPicBulletId w:val="0"/>
      <w:lvlJc w:val="left"/>
      <w:pPr>
        <w:tabs>
          <w:tab w:val="num" w:pos="7766"/>
        </w:tabs>
        <w:ind w:left="7766" w:hanging="360"/>
      </w:pPr>
      <w:rPr>
        <w:rFonts w:ascii="Symbol" w:hAnsi="Symbol" w:hint="default"/>
      </w:rPr>
    </w:lvl>
  </w:abstractNum>
  <w:abstractNum w:abstractNumId="12" w15:restartNumberingAfterBreak="0">
    <w:nsid w:val="6C037CCC"/>
    <w:multiLevelType w:val="hybridMultilevel"/>
    <w:tmpl w:val="9A065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FB16CE"/>
    <w:multiLevelType w:val="hybridMultilevel"/>
    <w:tmpl w:val="283AA094"/>
    <w:lvl w:ilvl="0" w:tplc="0C09000F">
      <w:start w:val="1"/>
      <w:numFmt w:val="decimal"/>
      <w:lvlText w:val="%1."/>
      <w:lvlJc w:val="left"/>
      <w:pPr>
        <w:ind w:left="1080" w:hanging="360"/>
      </w:pPr>
    </w:lvl>
    <w:lvl w:ilvl="1" w:tplc="DF8215EE">
      <w:start w:val="1"/>
      <w:numFmt w:val="bullet"/>
      <w:lvlText w:val=""/>
      <w:lvlPicBulletId w:val="1"/>
      <w:lvlJc w:val="left"/>
      <w:pPr>
        <w:ind w:left="1800" w:hanging="360"/>
      </w:pPr>
      <w:rPr>
        <w:rFonts w:ascii="Symbol" w:hAnsi="Symbol" w:hint="default"/>
        <w:color w:val="auto"/>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76527BE6"/>
    <w:multiLevelType w:val="hybridMultilevel"/>
    <w:tmpl w:val="0E40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0"/>
  </w:num>
  <w:num w:numId="5">
    <w:abstractNumId w:val="0"/>
  </w:num>
  <w:num w:numId="6">
    <w:abstractNumId w:val="14"/>
  </w:num>
  <w:num w:numId="7">
    <w:abstractNumId w:val="9"/>
  </w:num>
  <w:num w:numId="8">
    <w:abstractNumId w:val="4"/>
  </w:num>
  <w:num w:numId="9">
    <w:abstractNumId w:val="2"/>
  </w:num>
  <w:num w:numId="10">
    <w:abstractNumId w:val="8"/>
  </w:num>
  <w:num w:numId="11">
    <w:abstractNumId w:val="1"/>
  </w:num>
  <w:num w:numId="12">
    <w:abstractNumId w:val="13"/>
  </w:num>
  <w:num w:numId="13">
    <w:abstractNumId w:val="7"/>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68B"/>
    <w:rsid w:val="00006070"/>
    <w:rsid w:val="00040989"/>
    <w:rsid w:val="000F6F86"/>
    <w:rsid w:val="001348E8"/>
    <w:rsid w:val="001A1FDE"/>
    <w:rsid w:val="00226CD6"/>
    <w:rsid w:val="00265B9E"/>
    <w:rsid w:val="00283360"/>
    <w:rsid w:val="002C0D2F"/>
    <w:rsid w:val="003261FF"/>
    <w:rsid w:val="00331B6E"/>
    <w:rsid w:val="00342207"/>
    <w:rsid w:val="00375C12"/>
    <w:rsid w:val="00397B25"/>
    <w:rsid w:val="003C2832"/>
    <w:rsid w:val="003E79FA"/>
    <w:rsid w:val="00453196"/>
    <w:rsid w:val="00472AF9"/>
    <w:rsid w:val="00496E58"/>
    <w:rsid w:val="004E47DE"/>
    <w:rsid w:val="004F1D7A"/>
    <w:rsid w:val="00531C50"/>
    <w:rsid w:val="005826ED"/>
    <w:rsid w:val="005A105F"/>
    <w:rsid w:val="005A4CD8"/>
    <w:rsid w:val="006659EE"/>
    <w:rsid w:val="00673B31"/>
    <w:rsid w:val="006B4CD1"/>
    <w:rsid w:val="006D09FC"/>
    <w:rsid w:val="006E33B7"/>
    <w:rsid w:val="00711342"/>
    <w:rsid w:val="00730F6A"/>
    <w:rsid w:val="007371FA"/>
    <w:rsid w:val="00782EDF"/>
    <w:rsid w:val="00785583"/>
    <w:rsid w:val="00794A07"/>
    <w:rsid w:val="007C65E2"/>
    <w:rsid w:val="007D6C09"/>
    <w:rsid w:val="007E3FF9"/>
    <w:rsid w:val="007E72F4"/>
    <w:rsid w:val="00807541"/>
    <w:rsid w:val="00831E35"/>
    <w:rsid w:val="0085254C"/>
    <w:rsid w:val="00883ECD"/>
    <w:rsid w:val="00896D57"/>
    <w:rsid w:val="008D6413"/>
    <w:rsid w:val="009203BA"/>
    <w:rsid w:val="00933609"/>
    <w:rsid w:val="00944B50"/>
    <w:rsid w:val="009548D9"/>
    <w:rsid w:val="00960607"/>
    <w:rsid w:val="00982A66"/>
    <w:rsid w:val="00A037D3"/>
    <w:rsid w:val="00A36922"/>
    <w:rsid w:val="00A446FB"/>
    <w:rsid w:val="00A50618"/>
    <w:rsid w:val="00AA4299"/>
    <w:rsid w:val="00B07340"/>
    <w:rsid w:val="00B21F2C"/>
    <w:rsid w:val="00B2560A"/>
    <w:rsid w:val="00B41FE1"/>
    <w:rsid w:val="00B70262"/>
    <w:rsid w:val="00B8135A"/>
    <w:rsid w:val="00BB4C16"/>
    <w:rsid w:val="00BF6A04"/>
    <w:rsid w:val="00CF65CA"/>
    <w:rsid w:val="00D5484C"/>
    <w:rsid w:val="00E3451C"/>
    <w:rsid w:val="00E66627"/>
    <w:rsid w:val="00E900A1"/>
    <w:rsid w:val="00EF5F44"/>
    <w:rsid w:val="00F0168B"/>
    <w:rsid w:val="00F0723C"/>
    <w:rsid w:val="00F54857"/>
    <w:rsid w:val="00F645EC"/>
    <w:rsid w:val="00F70E62"/>
    <w:rsid w:val="00F9437F"/>
    <w:rsid w:val="00FE2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CF2C8"/>
  <w15:docId w15:val="{E992E6DB-472D-4931-80AB-AA98944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0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607"/>
  </w:style>
  <w:style w:type="paragraph" w:styleId="Footer">
    <w:name w:val="footer"/>
    <w:basedOn w:val="Normal"/>
    <w:link w:val="FooterChar"/>
    <w:uiPriority w:val="99"/>
    <w:unhideWhenUsed/>
    <w:rsid w:val="00960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607"/>
  </w:style>
  <w:style w:type="paragraph" w:styleId="NoSpacing">
    <w:name w:val="No Spacing"/>
    <w:uiPriority w:val="1"/>
    <w:qFormat/>
    <w:rsid w:val="00F70E62"/>
    <w:pPr>
      <w:spacing w:after="0" w:line="240" w:lineRule="auto"/>
    </w:pPr>
  </w:style>
  <w:style w:type="paragraph" w:styleId="ListParagraph">
    <w:name w:val="List Paragraph"/>
    <w:basedOn w:val="Normal"/>
    <w:uiPriority w:val="34"/>
    <w:qFormat/>
    <w:rsid w:val="00F0168B"/>
    <w:pPr>
      <w:spacing w:after="200" w:line="260" w:lineRule="atLeast"/>
      <w:ind w:left="720"/>
      <w:contextualSpacing/>
    </w:pPr>
    <w:rPr>
      <w:rFonts w:ascii="Arial Narrow" w:eastAsia="Calibri" w:hAnsi="Arial Narrow" w:cs="Arial"/>
      <w:sz w:val="21"/>
      <w:szCs w:val="21"/>
      <w:lang w:val="en-AU" w:eastAsia="en-AU"/>
    </w:rPr>
  </w:style>
  <w:style w:type="character" w:styleId="CommentReference">
    <w:name w:val="annotation reference"/>
    <w:basedOn w:val="DefaultParagraphFont"/>
    <w:uiPriority w:val="99"/>
    <w:semiHidden/>
    <w:unhideWhenUsed/>
    <w:rsid w:val="00F0168B"/>
    <w:rPr>
      <w:sz w:val="16"/>
      <w:szCs w:val="16"/>
    </w:rPr>
  </w:style>
  <w:style w:type="paragraph" w:styleId="CommentText">
    <w:name w:val="annotation text"/>
    <w:basedOn w:val="Normal"/>
    <w:link w:val="CommentTextChar"/>
    <w:uiPriority w:val="99"/>
    <w:semiHidden/>
    <w:unhideWhenUsed/>
    <w:rsid w:val="00F0168B"/>
    <w:pPr>
      <w:spacing w:after="200" w:line="240" w:lineRule="auto"/>
    </w:pPr>
    <w:rPr>
      <w:rFonts w:ascii="Arial Narrow" w:eastAsia="Calibri" w:hAnsi="Arial Narrow" w:cs="Arial"/>
      <w:sz w:val="20"/>
      <w:szCs w:val="20"/>
      <w:lang w:val="en-AU" w:eastAsia="en-AU"/>
    </w:rPr>
  </w:style>
  <w:style w:type="character" w:customStyle="1" w:styleId="CommentTextChar">
    <w:name w:val="Comment Text Char"/>
    <w:basedOn w:val="DefaultParagraphFont"/>
    <w:link w:val="CommentText"/>
    <w:uiPriority w:val="99"/>
    <w:semiHidden/>
    <w:rsid w:val="00F0168B"/>
    <w:rPr>
      <w:rFonts w:ascii="Arial Narrow" w:eastAsia="Calibri" w:hAnsi="Arial Narrow" w:cs="Arial"/>
      <w:sz w:val="20"/>
      <w:szCs w:val="20"/>
      <w:lang w:val="en-AU" w:eastAsia="en-AU"/>
    </w:rPr>
  </w:style>
  <w:style w:type="table" w:styleId="TableGrid">
    <w:name w:val="Table Grid"/>
    <w:basedOn w:val="TableNormal"/>
    <w:uiPriority w:val="39"/>
    <w:rsid w:val="00F016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1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8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26ED"/>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5826ED"/>
    <w:rPr>
      <w:rFonts w:ascii="Arial Narrow" w:eastAsia="Calibri" w:hAnsi="Arial Narrow" w:cs="Arial"/>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davies\Desktop\ANZGOG%20Report%20page%20-%20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ANZGOG Report page - logo only</Template>
  <TotalTime>0</TotalTime>
  <Pages>6</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TR-ANZGOG</dc:creator>
  <cp:keywords/>
  <dc:description/>
  <cp:lastModifiedBy>TR-ANZGOG</cp:lastModifiedBy>
  <cp:revision>2</cp:revision>
  <cp:lastPrinted>2019-10-23T23:21:00Z</cp:lastPrinted>
  <dcterms:created xsi:type="dcterms:W3CDTF">2020-09-09T09:18:00Z</dcterms:created>
  <dcterms:modified xsi:type="dcterms:W3CDTF">2020-09-09T09:18:00Z</dcterms:modified>
</cp:coreProperties>
</file>